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348E" w14:textId="77777777" w:rsidR="00922377" w:rsidRDefault="00000000">
      <w:pPr>
        <w:pStyle w:val="Title"/>
      </w:pPr>
      <w:r>
        <w:t>Inclusive Lesson Plan Template</w:t>
      </w:r>
    </w:p>
    <w:p w14:paraId="46580F04" w14:textId="77777777" w:rsidR="00922377" w:rsidRDefault="00000000">
      <w:r>
        <w:t>To be used for Individual, Small Group (3–5 students), or Whole Class Instruction</w:t>
      </w:r>
    </w:p>
    <w:p w14:paraId="167A4062" w14:textId="6B14F7FB" w:rsidR="00465FC5" w:rsidRPr="00D8104E" w:rsidRDefault="00465FC5" w:rsidP="00465FC5">
      <w:pPr>
        <w:rPr>
          <w:i/>
          <w:iCs/>
          <w:sz w:val="24"/>
          <w:szCs w:val="24"/>
        </w:rPr>
      </w:pPr>
      <w:r w:rsidRPr="00D8104E">
        <w:rPr>
          <w:i/>
          <w:iCs/>
          <w:sz w:val="24"/>
          <w:szCs w:val="24"/>
        </w:rPr>
        <w:t xml:space="preserve">The </w:t>
      </w:r>
      <w:r w:rsidR="00D8104E" w:rsidRPr="00D8104E">
        <w:rPr>
          <w:i/>
          <w:iCs/>
          <w:sz w:val="24"/>
          <w:szCs w:val="24"/>
        </w:rPr>
        <w:t>text boxes</w:t>
      </w:r>
      <w:r w:rsidRPr="00D8104E">
        <w:rPr>
          <w:i/>
          <w:iCs/>
          <w:sz w:val="24"/>
          <w:szCs w:val="24"/>
        </w:rPr>
        <w:t xml:space="preserve"> below </w:t>
      </w:r>
      <w:r w:rsidR="006764B9" w:rsidRPr="00D8104E">
        <w:rPr>
          <w:i/>
          <w:iCs/>
          <w:sz w:val="24"/>
          <w:szCs w:val="24"/>
        </w:rPr>
        <w:t>will expand as you type</w:t>
      </w:r>
    </w:p>
    <w:p w14:paraId="3B44E7B7" w14:textId="27B99AF4" w:rsidR="00922377" w:rsidRPr="00465FC5" w:rsidRDefault="00000000" w:rsidP="00465FC5">
      <w:pPr>
        <w:rPr>
          <w:rFonts w:asciiTheme="majorHAnsi" w:hAnsiTheme="majorHAnsi" w:cstheme="majorHAnsi"/>
          <w:b/>
          <w:bCs/>
          <w:i/>
          <w:iCs/>
          <w:color w:val="0070C0"/>
          <w:sz w:val="28"/>
          <w:szCs w:val="28"/>
        </w:rPr>
      </w:pPr>
      <w:r w:rsidRPr="00465FC5">
        <w:rPr>
          <w:rFonts w:asciiTheme="majorHAnsi" w:hAnsiTheme="majorHAnsi" w:cstheme="majorHAnsi"/>
          <w:b/>
          <w:bCs/>
          <w:color w:val="0070C0"/>
          <w:sz w:val="28"/>
          <w:szCs w:val="28"/>
        </w:rPr>
        <w:t>Student Description &amp; Rationale for Lesson Selection</w:t>
      </w:r>
    </w:p>
    <w:p w14:paraId="3C85DC0B" w14:textId="77777777" w:rsidR="00E22171" w:rsidRDefault="00000000">
      <w:r>
        <w:t>Provide a short description of the student(s) including grade level, strengths, learning needs, and any relevant diagnoses.</w:t>
      </w:r>
    </w:p>
    <w:p w14:paraId="5D7A3A76" w14:textId="37CC87E3" w:rsidR="00922377" w:rsidRDefault="00000000">
      <w:r w:rsidRPr="00D8104E">
        <w:rPr>
          <w:i/>
          <w:iCs/>
        </w:rPr>
        <w:t>Example:</w:t>
      </w:r>
      <w:r>
        <w:br/>
        <w:t>This lesson was selected for a group of 4th-grade students, two of whom have IEPs for specific learning disabilities in reading comprehension and written expression. The lesson was chosen because it supports differentiated reading levels while promoting active participation and social-emotional growth.</w:t>
      </w:r>
    </w:p>
    <w:tbl>
      <w:tblPr>
        <w:tblStyle w:val="TableGrid"/>
        <w:tblW w:w="5000" w:type="pct"/>
        <w:tblLook w:val="04A0" w:firstRow="1" w:lastRow="0" w:firstColumn="1" w:lastColumn="0" w:noHBand="0" w:noVBand="1"/>
      </w:tblPr>
      <w:tblGrid>
        <w:gridCol w:w="9350"/>
      </w:tblGrid>
      <w:tr w:rsidR="00E22171" w14:paraId="4ECEDAC8" w14:textId="77777777" w:rsidTr="00D8104E">
        <w:trPr>
          <w:trHeight w:val="350"/>
        </w:trPr>
        <w:tc>
          <w:tcPr>
            <w:tcW w:w="5000" w:type="pct"/>
          </w:tcPr>
          <w:p w14:paraId="20BD7AF3" w14:textId="77777777" w:rsidR="00E05992" w:rsidRDefault="00D8104E">
            <w:r>
              <w:fldChar w:fldCharType="begin">
                <w:ffData>
                  <w:name w:val="Text22"/>
                  <w:enabled/>
                  <w:calcOnExit w:val="0"/>
                  <w:textInput/>
                </w:ffData>
              </w:fldChar>
            </w:r>
            <w:bookmarkStart w:id="0" w:name="Text22"/>
            <w:r>
              <w:instrText xml:space="preserve"> FORMTEXT </w:instrText>
            </w:r>
            <w:r>
              <w:fldChar w:fldCharType="separate"/>
            </w:r>
            <w:r w:rsidR="00715270" w:rsidRPr="00715270">
              <w:t>This lesson was intended for GM, a 3rd-grade student with Autism receiving special education assistance. He benefits from structured routines, targeted instruction, visual supports, and consistent reinforcement. GM’s learning requirements include further development in phonemic awareness, advanced phonics patterns, and social-emotional regulation</w:t>
            </w:r>
            <w:r w:rsidR="00E05992">
              <w:t xml:space="preserve"> (</w:t>
            </w:r>
            <w:r w:rsidR="00715270" w:rsidRPr="00715270">
              <w:t xml:space="preserve">particularly when he makes errors, loses, or </w:t>
            </w:r>
            <w:r w:rsidR="00E05992">
              <w:t xml:space="preserve">when </w:t>
            </w:r>
            <w:r w:rsidR="00715270" w:rsidRPr="00715270">
              <w:t>need</w:t>
            </w:r>
            <w:r w:rsidR="00E05992">
              <w:t>ing</w:t>
            </w:r>
            <w:r w:rsidR="00715270" w:rsidRPr="00715270">
              <w:t xml:space="preserve"> adult support</w:t>
            </w:r>
            <w:r w:rsidR="00E05992">
              <w:t>), and other supports with his difficulties in cognition, behavior regulation, and language</w:t>
            </w:r>
            <w:r w:rsidR="00715270" w:rsidRPr="00715270">
              <w:t xml:space="preserve">. </w:t>
            </w:r>
            <w:r w:rsidR="00E05992">
              <w:t xml:space="preserve">In </w:t>
            </w:r>
            <w:proofErr w:type="gramStart"/>
            <w:r w:rsidR="00E05992">
              <w:t>addition</w:t>
            </w:r>
            <w:proofErr w:type="gramEnd"/>
            <w:r w:rsidR="00E05992">
              <w:t xml:space="preserve"> </w:t>
            </w:r>
            <w:r w:rsidR="00715270" w:rsidRPr="00715270">
              <w:t>with intentionally integrating social-emotional skill development and fine-motor support in line with GM's occupational therapy needs</w:t>
            </w:r>
            <w:r w:rsidR="00E05992">
              <w:t xml:space="preserve"> and to support the accommodations in his IEP and BIP</w:t>
            </w:r>
            <w:r w:rsidR="00715270" w:rsidRPr="00715270">
              <w:t xml:space="preserve">, this lesson was chosen </w:t>
            </w:r>
            <w:proofErr w:type="gramStart"/>
            <w:r w:rsidR="00715270" w:rsidRPr="00715270">
              <w:t>in order to</w:t>
            </w:r>
            <w:proofErr w:type="gramEnd"/>
            <w:r w:rsidR="00715270" w:rsidRPr="00715270">
              <w:t xml:space="preserve"> directly support his literacy IEP goals.</w:t>
            </w:r>
            <w:r w:rsidR="00715270">
              <w:t> </w:t>
            </w:r>
          </w:p>
          <w:p w14:paraId="687B9EDD" w14:textId="77777777" w:rsidR="00E05992" w:rsidRDefault="00E05992"/>
          <w:p w14:paraId="4C41E726" w14:textId="77777777" w:rsidR="00E05992" w:rsidRDefault="00E05992">
            <w:r>
              <w:t xml:space="preserve">The </w:t>
            </w:r>
            <w:proofErr w:type="spellStart"/>
            <w:r>
              <w:t>reinforment</w:t>
            </w:r>
            <w:proofErr w:type="spellEnd"/>
            <w:r>
              <w:t xml:space="preserve"> was </w:t>
            </w:r>
            <w:proofErr w:type="spellStart"/>
            <w:r>
              <w:t>chose</w:t>
            </w:r>
            <w:proofErr w:type="spellEnd"/>
            <w:r>
              <w:t xml:space="preserve"> because of the known reinforcers in the BIP, one being praise from a preferred adult (I just happen to be his favorite person). Another top motivator for GM is food/edible reinforcers, this is also outlined in his BIP and in the general information part of his IEP. </w:t>
            </w:r>
          </w:p>
          <w:p w14:paraId="1368771F" w14:textId="77777777" w:rsidR="00E05992" w:rsidRDefault="00E05992"/>
          <w:p w14:paraId="1E46E75A" w14:textId="77777777" w:rsidR="00E05992" w:rsidRDefault="00E05992">
            <w:r>
              <w:t xml:space="preserve">For the prompting of this lesson, we began with hand motions to learn the strategy. The lessons have been based on a "I </w:t>
            </w:r>
            <w:proofErr w:type="gramStart"/>
            <w:r>
              <w:t>do,</w:t>
            </w:r>
            <w:proofErr w:type="gramEnd"/>
            <w:r>
              <w:t xml:space="preserve"> we do, you do" model. In the demonstration you will see me show GM how to do the task, we will do it together, then I will fade out and have him show me how to do it. Eventually, the hand motions will fade out all together and he will be able to do it from memory and skill. </w:t>
            </w:r>
          </w:p>
          <w:p w14:paraId="520F0910" w14:textId="77777777" w:rsidR="00E05992" w:rsidRDefault="00E05992"/>
          <w:p w14:paraId="7A7083D5" w14:textId="77777777" w:rsidR="00D26B05" w:rsidRDefault="00E05992">
            <w:r>
              <w:t xml:space="preserve">Data is </w:t>
            </w:r>
            <w:proofErr w:type="gramStart"/>
            <w:r>
              <w:t>take</w:t>
            </w:r>
            <w:proofErr w:type="gramEnd"/>
            <w:r>
              <w:t xml:space="preserve"> on a clipboard. If GM is to miss a </w:t>
            </w:r>
            <w:proofErr w:type="gramStart"/>
            <w:r>
              <w:t>word, or</w:t>
            </w:r>
            <w:proofErr w:type="gramEnd"/>
            <w:r>
              <w:t xml:space="preserve"> incorrectly perform the task. I will have him stop, provide feedback in accordance with his BIP, show him the correct way, have us do it together, provide reinforcement, and then have him do the task again. </w:t>
            </w:r>
            <w:r w:rsidR="00D26B05">
              <w:t xml:space="preserve">I will mark on the clipboard that the task was done incorrectly so we can revisit or that the data can be collected for his progress report, parent-teacher conference, or his annual IEP present levels. Progress monitoring is important to track the progress and to see what areas might need to be reviewed and revisited. </w:t>
            </w:r>
          </w:p>
          <w:p w14:paraId="1361D6F4" w14:textId="77777777" w:rsidR="00D26B05" w:rsidRDefault="00D26B05"/>
          <w:p w14:paraId="084B60D7" w14:textId="05B911CA" w:rsidR="00E22171" w:rsidRDefault="00D26B05">
            <w:r>
              <w:lastRenderedPageBreak/>
              <w:t xml:space="preserve">Technology is not used in every lesson. It is typically only used in our Friday lessons. The iPad and </w:t>
            </w:r>
            <w:proofErr w:type="spellStart"/>
            <w:r>
              <w:t>technolgy</w:t>
            </w:r>
            <w:proofErr w:type="spellEnd"/>
            <w:r>
              <w:t xml:space="preserve"> can be a trigger for GM. (You will probably see him paying attention to the computer in the video of the lesson. We might have to attempt it several times.) </w:t>
            </w:r>
            <w:r w:rsidR="00715270">
              <w:t> </w:t>
            </w:r>
            <w:r w:rsidR="00715270">
              <w:t> </w:t>
            </w:r>
            <w:r w:rsidR="00715270">
              <w:t> </w:t>
            </w:r>
            <w:r w:rsidR="00715270">
              <w:t> </w:t>
            </w:r>
            <w:r w:rsidR="00D8104E">
              <w:fldChar w:fldCharType="end"/>
            </w:r>
            <w:bookmarkEnd w:id="0"/>
          </w:p>
        </w:tc>
      </w:tr>
    </w:tbl>
    <w:p w14:paraId="352198AF" w14:textId="77777777" w:rsidR="00922377" w:rsidRDefault="00000000">
      <w:pPr>
        <w:pStyle w:val="Heading1"/>
      </w:pPr>
      <w:r>
        <w:lastRenderedPageBreak/>
        <w:t>INCLUSIVE INSTRUCTIONAL PLAN ELEMENTS</w:t>
      </w:r>
    </w:p>
    <w:p w14:paraId="64EB46EA" w14:textId="77777777" w:rsidR="00922377" w:rsidRPr="00DB343C" w:rsidRDefault="00000000">
      <w:pPr>
        <w:pStyle w:val="Heading2"/>
        <w:rPr>
          <w:color w:val="365F91" w:themeColor="accent1" w:themeShade="BF"/>
        </w:rPr>
      </w:pPr>
      <w:r w:rsidRPr="00DB343C">
        <w:rPr>
          <w:color w:val="365F91" w:themeColor="accent1" w:themeShade="BF"/>
        </w:rPr>
        <w:t>Lesson Date &amp; Topic</w:t>
      </w:r>
    </w:p>
    <w:p w14:paraId="310C7AF1" w14:textId="77777777" w:rsidR="00922377" w:rsidRDefault="00000000">
      <w:r>
        <w:t>Clearly state the lesson date and content topic (e.g., "April 17 – Identifying Main Ideas in Nonfiction Texts").</w:t>
      </w:r>
    </w:p>
    <w:tbl>
      <w:tblPr>
        <w:tblStyle w:val="TableGrid"/>
        <w:tblW w:w="4994" w:type="pct"/>
        <w:tblLook w:val="04A0" w:firstRow="1" w:lastRow="0" w:firstColumn="1" w:lastColumn="0" w:noHBand="0" w:noVBand="1"/>
      </w:tblPr>
      <w:tblGrid>
        <w:gridCol w:w="9339"/>
      </w:tblGrid>
      <w:tr w:rsidR="00E22171" w14:paraId="65DB1C4B" w14:textId="77777777" w:rsidTr="00D8104E">
        <w:trPr>
          <w:trHeight w:val="368"/>
        </w:trPr>
        <w:tc>
          <w:tcPr>
            <w:tcW w:w="5000" w:type="pct"/>
          </w:tcPr>
          <w:p w14:paraId="768EF85E" w14:textId="79BC4868" w:rsidR="00465FC5" w:rsidRDefault="00D8104E">
            <w:r>
              <w:fldChar w:fldCharType="begin">
                <w:ffData>
                  <w:name w:val="Text21"/>
                  <w:enabled/>
                  <w:calcOnExit w:val="0"/>
                  <w:textInput/>
                </w:ffData>
              </w:fldChar>
            </w:r>
            <w:bookmarkStart w:id="1" w:name="Text21"/>
            <w:r>
              <w:instrText xml:space="preserve"> FORMTEXT </w:instrText>
            </w:r>
            <w:r>
              <w:fldChar w:fldCharType="separate"/>
            </w:r>
            <w:r w:rsidR="006E3BAB" w:rsidRPr="006E3BAB">
              <w:t>Feb. 3, 2026 - Phonemic Awareness and Phonics: Consonant Blends, VCe Patterns, and Vowel Teams</w:t>
            </w:r>
            <w:r w:rsidR="00D35B02">
              <w:rPr>
                <w:noProof/>
              </w:rPr>
              <w:t xml:space="preserve"> </w:t>
            </w:r>
            <w:r>
              <w:fldChar w:fldCharType="end"/>
            </w:r>
            <w:bookmarkEnd w:id="1"/>
          </w:p>
        </w:tc>
      </w:tr>
    </w:tbl>
    <w:p w14:paraId="46D533A9" w14:textId="137BFC6C" w:rsidR="00922377" w:rsidRPr="00DB343C" w:rsidRDefault="00000000">
      <w:pPr>
        <w:pStyle w:val="Heading2"/>
        <w:rPr>
          <w:color w:val="365F91" w:themeColor="accent1" w:themeShade="BF"/>
        </w:rPr>
      </w:pPr>
      <w:r w:rsidRPr="00DB343C">
        <w:rPr>
          <w:color w:val="365F91" w:themeColor="accent1" w:themeShade="BF"/>
        </w:rPr>
        <w:t>IEP Goals</w:t>
      </w:r>
    </w:p>
    <w:p w14:paraId="7C2BB880" w14:textId="77777777" w:rsidR="00922377" w:rsidRDefault="00000000">
      <w:r>
        <w:t>Summarize relevant IEP goals/objectives. Include goal numbers and brief descriptions.</w:t>
      </w:r>
    </w:p>
    <w:tbl>
      <w:tblPr>
        <w:tblStyle w:val="TableGrid"/>
        <w:tblW w:w="4994" w:type="pct"/>
        <w:tblLook w:val="04A0" w:firstRow="1" w:lastRow="0" w:firstColumn="1" w:lastColumn="0" w:noHBand="0" w:noVBand="1"/>
      </w:tblPr>
      <w:tblGrid>
        <w:gridCol w:w="9339"/>
      </w:tblGrid>
      <w:tr w:rsidR="00E22171" w14:paraId="6614A103" w14:textId="77777777" w:rsidTr="00D8104E">
        <w:trPr>
          <w:trHeight w:val="350"/>
        </w:trPr>
        <w:tc>
          <w:tcPr>
            <w:tcW w:w="5000" w:type="pct"/>
          </w:tcPr>
          <w:p w14:paraId="5C9587C5" w14:textId="77777777" w:rsidR="006E3BAB" w:rsidRDefault="00D8104E" w:rsidP="006E3BAB">
            <w:r>
              <w:fldChar w:fldCharType="begin">
                <w:ffData>
                  <w:name w:val="Text20"/>
                  <w:enabled/>
                  <w:calcOnExit w:val="0"/>
                  <w:textInput/>
                </w:ffData>
              </w:fldChar>
            </w:r>
            <w:bookmarkStart w:id="2" w:name="Text20"/>
            <w:r>
              <w:instrText xml:space="preserve"> FORMTEXT </w:instrText>
            </w:r>
            <w:r>
              <w:fldChar w:fldCharType="separate"/>
            </w:r>
            <w:r w:rsidR="006E3BAB">
              <w:t>Goal 1 (Reading/Phonics): GM will decode printed words containing consonant blends (CCVC/CVCC), VCe patterns, and common vowel teams with 80% accuracy across three consecutive data days, as measured by data collection and phonics probes.</w:t>
            </w:r>
          </w:p>
          <w:p w14:paraId="6F866BFA" w14:textId="77777777" w:rsidR="006E3BAB" w:rsidRDefault="006E3BAB" w:rsidP="006E3BAB"/>
          <w:p w14:paraId="12E946BE" w14:textId="77777777" w:rsidR="006E3BAB" w:rsidRDefault="006E3BAB" w:rsidP="006E3BAB">
            <w:r>
              <w:t>Goal 2 (Phonemic Awareness): GM will isolate, segment, add, and delete phonemes at the beginning and end of words with 80% accuracy across three consecutive data days, as measured by data collection and phonemic awareness probes.</w:t>
            </w:r>
          </w:p>
          <w:p w14:paraId="1A4B9050" w14:textId="77777777" w:rsidR="006E3BAB" w:rsidRDefault="006E3BAB" w:rsidP="006E3BAB"/>
          <w:p w14:paraId="5FEC03C2" w14:textId="77777777" w:rsidR="006E3BAB" w:rsidRDefault="006E3BAB" w:rsidP="006E3BAB">
            <w:r>
              <w:t>Goal 3 (Social): GM will demonstrate appropriate social play behaviors, including taking turns, accepting winning and losing, and responding to peer or adult prompts, with 80% accuracy across three consecutive data days, as measured by data collection and observation logs.</w:t>
            </w:r>
          </w:p>
          <w:p w14:paraId="7C591A3E" w14:textId="77777777" w:rsidR="006E3BAB" w:rsidRDefault="006E3BAB" w:rsidP="006E3BAB"/>
          <w:p w14:paraId="5F01E0A9" w14:textId="0150A487" w:rsidR="00E22171" w:rsidRDefault="006E3BAB" w:rsidP="006E3BAB">
            <w:r>
              <w:t xml:space="preserve">Accommodations (OT): GM will be provided with an adaptive pencil grip during structured writing tasks, with verbal or visual reminders as needed.  </w:t>
            </w:r>
            <w:r>
              <w:t> </w:t>
            </w:r>
            <w:r>
              <w:t> </w:t>
            </w:r>
            <w:r>
              <w:t> </w:t>
            </w:r>
            <w:r>
              <w:t> </w:t>
            </w:r>
            <w:r w:rsidR="00D8104E">
              <w:fldChar w:fldCharType="end"/>
            </w:r>
            <w:bookmarkEnd w:id="2"/>
          </w:p>
        </w:tc>
      </w:tr>
    </w:tbl>
    <w:p w14:paraId="34520C19" w14:textId="23F40694" w:rsidR="00922377" w:rsidRPr="00DB343C" w:rsidRDefault="00000000">
      <w:pPr>
        <w:pStyle w:val="Heading2"/>
        <w:rPr>
          <w:color w:val="365F91" w:themeColor="accent1" w:themeShade="BF"/>
        </w:rPr>
      </w:pPr>
      <w:r w:rsidRPr="00DB343C">
        <w:rPr>
          <w:color w:val="365F91" w:themeColor="accent1" w:themeShade="BF"/>
        </w:rPr>
        <w:t>Schedule of Activities</w:t>
      </w:r>
    </w:p>
    <w:p w14:paraId="4AA6EFD3" w14:textId="77777777" w:rsidR="00922377" w:rsidRDefault="00000000">
      <w:r>
        <w:t>List steps of the lesson, including routines, transitions, and special activities.</w:t>
      </w:r>
    </w:p>
    <w:tbl>
      <w:tblPr>
        <w:tblStyle w:val="TableGrid"/>
        <w:tblW w:w="4994" w:type="pct"/>
        <w:tblLook w:val="04A0" w:firstRow="1" w:lastRow="0" w:firstColumn="1" w:lastColumn="0" w:noHBand="0" w:noVBand="1"/>
      </w:tblPr>
      <w:tblGrid>
        <w:gridCol w:w="9339"/>
      </w:tblGrid>
      <w:tr w:rsidR="00E22171" w14:paraId="382E72B3" w14:textId="77777777" w:rsidTr="00D8104E">
        <w:trPr>
          <w:trHeight w:val="368"/>
        </w:trPr>
        <w:tc>
          <w:tcPr>
            <w:tcW w:w="5000" w:type="pct"/>
          </w:tcPr>
          <w:p w14:paraId="5BC94055" w14:textId="77777777" w:rsidR="00BB6CCB" w:rsidRDefault="006764B9" w:rsidP="00BB6CCB">
            <w:r>
              <w:fldChar w:fldCharType="begin">
                <w:ffData>
                  <w:name w:val="Text4"/>
                  <w:enabled/>
                  <w:calcOnExit w:val="0"/>
                  <w:textInput/>
                </w:ffData>
              </w:fldChar>
            </w:r>
            <w:bookmarkStart w:id="3" w:name="Text4"/>
            <w:r>
              <w:instrText xml:space="preserve"> FORMTEXT </w:instrText>
            </w:r>
            <w:r>
              <w:fldChar w:fldCharType="separate"/>
            </w:r>
            <w:r w:rsidR="00BB6CCB">
              <w:t>Arrival and visual schedule review</w:t>
            </w:r>
          </w:p>
          <w:p w14:paraId="52B5F224" w14:textId="77777777" w:rsidR="00BB6CCB" w:rsidRDefault="00BB6CCB" w:rsidP="00BB6CCB"/>
          <w:p w14:paraId="2917332F" w14:textId="77777777" w:rsidR="00BB6CCB" w:rsidRDefault="00BB6CCB" w:rsidP="00BB6CCB">
            <w:r>
              <w:t>Heggerty routines for phonemic awareness warm-up (segmenting, blending, phoneme manipulation)</w:t>
            </w:r>
          </w:p>
          <w:p w14:paraId="7A135F52" w14:textId="77777777" w:rsidR="00BB6CCB" w:rsidRDefault="00BB6CCB" w:rsidP="00BB6CCB"/>
          <w:p w14:paraId="543CD768" w14:textId="77777777" w:rsidR="00BB6CCB" w:rsidRDefault="00BB6CCB" w:rsidP="00BB6CCB">
            <w:r>
              <w:t>Vowel teams, blends, and VCe patterns are the focus of explicit phonics education.</w:t>
            </w:r>
          </w:p>
          <w:p w14:paraId="3D208BF8" w14:textId="77777777" w:rsidR="00BB6CCB" w:rsidRDefault="00BB6CCB" w:rsidP="00BB6CCB"/>
          <w:p w14:paraId="24A6851C" w14:textId="77777777" w:rsidR="00BB6CCB" w:rsidRDefault="00BB6CCB" w:rsidP="00BB6CCB">
            <w:r>
              <w:t>supervised decoding exercises with planned opportunities for mistake tolerance</w:t>
            </w:r>
          </w:p>
          <w:p w14:paraId="234D38BF" w14:textId="77777777" w:rsidR="00BB6CCB" w:rsidRDefault="00BB6CCB" w:rsidP="00BB6CCB"/>
          <w:p w14:paraId="6486CC5A" w14:textId="77777777" w:rsidR="00BB6CCB" w:rsidRDefault="00BB6CCB" w:rsidP="00BB6CCB">
            <w:r>
              <w:t>Independent writing practice utilizing adjustable pencil grip</w:t>
            </w:r>
          </w:p>
          <w:p w14:paraId="225A9827" w14:textId="77777777" w:rsidR="00BB6CCB" w:rsidRDefault="00BB6CCB" w:rsidP="00BB6CCB"/>
          <w:p w14:paraId="088BC286" w14:textId="77777777" w:rsidR="00BB6CCB" w:rsidRDefault="00BB6CCB" w:rsidP="00BB6CCB">
            <w:r>
              <w:t>Social-emotional contemplation centered on making an attempt and receiving assistance</w:t>
            </w:r>
          </w:p>
          <w:p w14:paraId="74B2448D" w14:textId="77777777" w:rsidR="00BB6CCB" w:rsidRDefault="00BB6CCB" w:rsidP="00BB6CCB"/>
          <w:p w14:paraId="7373AFDC" w14:textId="75FCC610" w:rsidR="00E22171" w:rsidRDefault="00BB6CCB" w:rsidP="00BB6CCB">
            <w:r>
              <w:t>Using an iPad video for closure and reinforcement</w:t>
            </w:r>
            <w:r>
              <w:t> </w:t>
            </w:r>
            <w:r>
              <w:t> </w:t>
            </w:r>
            <w:r>
              <w:t> </w:t>
            </w:r>
            <w:r>
              <w:t> </w:t>
            </w:r>
            <w:r>
              <w:t> </w:t>
            </w:r>
            <w:r w:rsidR="006764B9">
              <w:fldChar w:fldCharType="end"/>
            </w:r>
            <w:bookmarkEnd w:id="3"/>
          </w:p>
        </w:tc>
      </w:tr>
    </w:tbl>
    <w:p w14:paraId="014B5C34" w14:textId="77777777" w:rsidR="00922377" w:rsidRPr="00DB343C" w:rsidRDefault="00000000">
      <w:pPr>
        <w:pStyle w:val="Heading2"/>
        <w:rPr>
          <w:color w:val="365F91" w:themeColor="accent1" w:themeShade="BF"/>
        </w:rPr>
      </w:pPr>
      <w:r w:rsidRPr="00DB343C">
        <w:rPr>
          <w:color w:val="365F91" w:themeColor="accent1" w:themeShade="BF"/>
        </w:rPr>
        <w:lastRenderedPageBreak/>
        <w:t>Evidence-Based Practices</w:t>
      </w:r>
    </w:p>
    <w:p w14:paraId="431CF59B" w14:textId="77777777" w:rsidR="00922377" w:rsidRDefault="00000000">
      <w:r>
        <w:t>List and describe specific EBPs (e.g., graphic organizers, visual schedules, peer tutoring).</w:t>
      </w:r>
    </w:p>
    <w:tbl>
      <w:tblPr>
        <w:tblStyle w:val="TableGrid"/>
        <w:tblW w:w="4994" w:type="pct"/>
        <w:tblLook w:val="04A0" w:firstRow="1" w:lastRow="0" w:firstColumn="1" w:lastColumn="0" w:noHBand="0" w:noVBand="1"/>
      </w:tblPr>
      <w:tblGrid>
        <w:gridCol w:w="9339"/>
      </w:tblGrid>
      <w:tr w:rsidR="00E22171" w14:paraId="3D4446C2" w14:textId="77777777" w:rsidTr="00D8104E">
        <w:trPr>
          <w:trHeight w:val="350"/>
        </w:trPr>
        <w:tc>
          <w:tcPr>
            <w:tcW w:w="5000" w:type="pct"/>
          </w:tcPr>
          <w:p w14:paraId="72B5A33D" w14:textId="21B967FE" w:rsidR="00E22171" w:rsidRDefault="006764B9">
            <w:r>
              <w:fldChar w:fldCharType="begin">
                <w:ffData>
                  <w:name w:val="Text5"/>
                  <w:enabled/>
                  <w:calcOnExit w:val="0"/>
                  <w:textInput/>
                </w:ffData>
              </w:fldChar>
            </w:r>
            <w:bookmarkStart w:id="4" w:name="Text5"/>
            <w:r>
              <w:instrText xml:space="preserve"> FORMTEXT </w:instrText>
            </w:r>
            <w:r>
              <w:fldChar w:fldCharType="separate"/>
            </w:r>
            <w:r w:rsidR="00BB6CCB" w:rsidRPr="00BB6CCB">
              <w:t>Explicit instruction is combined with guided practice, independent practice with prompt feedback, and modeling. Heggerty phonemic awareness exercises are used to teach phonemes in a scientific and sequential manner. Verbal answers, phoneme manipulation, decoding aloud, and written practice all promote active learning. Visual aids, planned urging, and a gradual release of accountability are ways to create scaffolding.</w:t>
            </w:r>
            <w:r w:rsidR="00BB6CCB">
              <w:t> </w:t>
            </w:r>
            <w:r w:rsidR="00BB6CCB">
              <w:t> </w:t>
            </w:r>
            <w:r w:rsidR="00BB6CCB">
              <w:t> </w:t>
            </w:r>
            <w:r w:rsidR="00BB6CCB">
              <w:t> </w:t>
            </w:r>
            <w:r w:rsidR="00BB6CCB">
              <w:t> </w:t>
            </w:r>
            <w:r>
              <w:fldChar w:fldCharType="end"/>
            </w:r>
            <w:bookmarkEnd w:id="4"/>
          </w:p>
        </w:tc>
      </w:tr>
    </w:tbl>
    <w:p w14:paraId="4907166C" w14:textId="77777777" w:rsidR="00922377" w:rsidRPr="00DB343C" w:rsidRDefault="00000000">
      <w:pPr>
        <w:pStyle w:val="Heading2"/>
        <w:rPr>
          <w:color w:val="365F91" w:themeColor="accent1" w:themeShade="BF"/>
        </w:rPr>
      </w:pPr>
      <w:r w:rsidRPr="00DB343C">
        <w:rPr>
          <w:color w:val="365F91" w:themeColor="accent1" w:themeShade="BF"/>
        </w:rPr>
        <w:t>Skills to Teach (Beyond IEP)</w:t>
      </w:r>
    </w:p>
    <w:p w14:paraId="2FF40DBE" w14:textId="77777777" w:rsidR="00922377" w:rsidRDefault="00000000">
      <w:r>
        <w:t>Highlight general education objectives (e.g., note-taking, collaboration).</w:t>
      </w:r>
    </w:p>
    <w:tbl>
      <w:tblPr>
        <w:tblStyle w:val="TableGrid"/>
        <w:tblW w:w="4994" w:type="pct"/>
        <w:tblLook w:val="04A0" w:firstRow="1" w:lastRow="0" w:firstColumn="1" w:lastColumn="0" w:noHBand="0" w:noVBand="1"/>
      </w:tblPr>
      <w:tblGrid>
        <w:gridCol w:w="9339"/>
      </w:tblGrid>
      <w:tr w:rsidR="00E22171" w14:paraId="228F7B69" w14:textId="77777777" w:rsidTr="00D8104E">
        <w:trPr>
          <w:trHeight w:val="395"/>
        </w:trPr>
        <w:tc>
          <w:tcPr>
            <w:tcW w:w="5000" w:type="pct"/>
          </w:tcPr>
          <w:p w14:paraId="62278E6B" w14:textId="6CCC9306" w:rsidR="00E22171" w:rsidRDefault="006764B9">
            <w:r>
              <w:fldChar w:fldCharType="begin">
                <w:ffData>
                  <w:name w:val="Text6"/>
                  <w:enabled/>
                  <w:calcOnExit w:val="0"/>
                  <w:textInput/>
                </w:ffData>
              </w:fldChar>
            </w:r>
            <w:bookmarkStart w:id="5" w:name="Text6"/>
            <w:r>
              <w:instrText xml:space="preserve"> FORMTEXT </w:instrText>
            </w:r>
            <w:r>
              <w:fldChar w:fldCharType="separate"/>
            </w:r>
            <w:r w:rsidR="00BB6CCB" w:rsidRPr="00BB6CCB">
              <w:t xml:space="preserve">Additionally, this lesson focuses on </w:t>
            </w:r>
            <w:r w:rsidR="00F43E86">
              <w:t xml:space="preserve">stamina </w:t>
            </w:r>
            <w:r w:rsidR="00BB6CCB" w:rsidRPr="00BB6CCB">
              <w:t>during academic work, proper help-seeking behaviors, emotional regulation when making mistakes, and perseverance during difficult tasks</w:t>
            </w:r>
            <w:r w:rsidR="00BB6CCB">
              <w:t> </w:t>
            </w:r>
            <w:r w:rsidR="00BB6CCB">
              <w:t> </w:t>
            </w:r>
            <w:r w:rsidR="00BB6CCB">
              <w:t> </w:t>
            </w:r>
            <w:r w:rsidR="00BB6CCB">
              <w:t> </w:t>
            </w:r>
            <w:r w:rsidR="00BB6CCB">
              <w:t> </w:t>
            </w:r>
            <w:r>
              <w:fldChar w:fldCharType="end"/>
            </w:r>
            <w:bookmarkEnd w:id="5"/>
          </w:p>
        </w:tc>
      </w:tr>
    </w:tbl>
    <w:p w14:paraId="40C00A11" w14:textId="77777777" w:rsidR="00922377" w:rsidRPr="00DB343C" w:rsidRDefault="00000000">
      <w:pPr>
        <w:pStyle w:val="Heading2"/>
        <w:rPr>
          <w:color w:val="365F91" w:themeColor="accent1" w:themeShade="BF"/>
        </w:rPr>
      </w:pPr>
      <w:r w:rsidRPr="00DB343C">
        <w:rPr>
          <w:color w:val="365F91" w:themeColor="accent1" w:themeShade="BF"/>
        </w:rPr>
        <w:t>Natural Teaching Opportunities</w:t>
      </w:r>
    </w:p>
    <w:p w14:paraId="224EF210" w14:textId="77777777" w:rsidR="00922377" w:rsidRDefault="00000000">
      <w:r>
        <w:t>Indicate which IEP goals can be addressed organically in the lesson.</w:t>
      </w:r>
    </w:p>
    <w:tbl>
      <w:tblPr>
        <w:tblStyle w:val="TableGrid"/>
        <w:tblW w:w="4994" w:type="pct"/>
        <w:tblLook w:val="04A0" w:firstRow="1" w:lastRow="0" w:firstColumn="1" w:lastColumn="0" w:noHBand="0" w:noVBand="1"/>
      </w:tblPr>
      <w:tblGrid>
        <w:gridCol w:w="9339"/>
      </w:tblGrid>
      <w:tr w:rsidR="00E22171" w14:paraId="3CCC23E6" w14:textId="77777777" w:rsidTr="00D8104E">
        <w:trPr>
          <w:trHeight w:val="350"/>
        </w:trPr>
        <w:tc>
          <w:tcPr>
            <w:tcW w:w="5000" w:type="pct"/>
          </w:tcPr>
          <w:p w14:paraId="0202B450" w14:textId="33D4EEF7" w:rsidR="00E22171" w:rsidRDefault="006764B9">
            <w:r>
              <w:fldChar w:fldCharType="begin">
                <w:ffData>
                  <w:name w:val="Text7"/>
                  <w:enabled/>
                  <w:calcOnExit w:val="0"/>
                  <w:textInput/>
                </w:ffData>
              </w:fldChar>
            </w:r>
            <w:bookmarkStart w:id="6" w:name="Text7"/>
            <w:r>
              <w:instrText xml:space="preserve"> FORMTEXT </w:instrText>
            </w:r>
            <w:r>
              <w:fldChar w:fldCharType="separate"/>
            </w:r>
            <w:r w:rsidR="00BB6CCB" w:rsidRPr="00BB6CCB">
              <w:t>Phoneme manipulation and decoding challenges naturally target reading and phonemic awareness needs. When GM makes mistakes or needs help during instruction, social goals are naturally addressed. Written phonics activities naturally assist adjustments for occupational therapy.</w:t>
            </w:r>
            <w:r w:rsidR="00BB6CCB">
              <w:t> </w:t>
            </w:r>
            <w:r w:rsidR="00BB6CCB">
              <w:t> </w:t>
            </w:r>
            <w:r w:rsidR="00BB6CCB">
              <w:t> </w:t>
            </w:r>
            <w:r w:rsidR="00BB6CCB">
              <w:t> </w:t>
            </w:r>
            <w:r w:rsidR="00BB6CCB">
              <w:t> </w:t>
            </w:r>
            <w:r>
              <w:fldChar w:fldCharType="end"/>
            </w:r>
            <w:bookmarkEnd w:id="6"/>
          </w:p>
        </w:tc>
      </w:tr>
    </w:tbl>
    <w:p w14:paraId="49A91904" w14:textId="77777777" w:rsidR="00922377" w:rsidRPr="00DB343C" w:rsidRDefault="00000000">
      <w:pPr>
        <w:pStyle w:val="Heading2"/>
        <w:rPr>
          <w:color w:val="365F91" w:themeColor="accent1" w:themeShade="BF"/>
        </w:rPr>
      </w:pPr>
      <w:r w:rsidRPr="00DB343C">
        <w:rPr>
          <w:color w:val="365F91" w:themeColor="accent1" w:themeShade="BF"/>
        </w:rPr>
        <w:t>Embedded Teaching Opportunities</w:t>
      </w:r>
    </w:p>
    <w:p w14:paraId="77319A0C" w14:textId="77777777" w:rsidR="00922377" w:rsidRDefault="00000000">
      <w:r>
        <w:t>List IEP goals you’ll intentionally incorporate with a strategy.</w:t>
      </w:r>
    </w:p>
    <w:tbl>
      <w:tblPr>
        <w:tblStyle w:val="TableGrid"/>
        <w:tblW w:w="4994" w:type="pct"/>
        <w:tblLook w:val="04A0" w:firstRow="1" w:lastRow="0" w:firstColumn="1" w:lastColumn="0" w:noHBand="0" w:noVBand="1"/>
      </w:tblPr>
      <w:tblGrid>
        <w:gridCol w:w="9339"/>
      </w:tblGrid>
      <w:tr w:rsidR="00E22171" w14:paraId="638E9CDE" w14:textId="77777777" w:rsidTr="00D8104E">
        <w:trPr>
          <w:trHeight w:val="449"/>
        </w:trPr>
        <w:tc>
          <w:tcPr>
            <w:tcW w:w="5000" w:type="pct"/>
          </w:tcPr>
          <w:p w14:paraId="4175E994" w14:textId="7061169F" w:rsidR="006764B9" w:rsidRDefault="006764B9">
            <w:r>
              <w:fldChar w:fldCharType="begin">
                <w:ffData>
                  <w:name w:val="Text8"/>
                  <w:enabled/>
                  <w:calcOnExit w:val="0"/>
                  <w:textInput/>
                </w:ffData>
              </w:fldChar>
            </w:r>
            <w:bookmarkStart w:id="7" w:name="Text8"/>
            <w:r>
              <w:instrText xml:space="preserve"> FORMTEXT </w:instrText>
            </w:r>
            <w:r>
              <w:fldChar w:fldCharType="separate"/>
            </w:r>
            <w:r w:rsidR="00CA63BC" w:rsidRPr="00CA63BC">
              <w:rPr>
                <w:noProof/>
              </w:rPr>
              <w:t>The social goal related to accepting help and tolerating mistakes is intentionally embedded by presenting error-tolerant tasks, modeling calm responses to mistakes, and reinforcing appropriate reactions to losing or needing help.</w:t>
            </w:r>
            <w:r>
              <w:fldChar w:fldCharType="end"/>
            </w:r>
            <w:bookmarkEnd w:id="7"/>
          </w:p>
        </w:tc>
      </w:tr>
    </w:tbl>
    <w:p w14:paraId="44EFB845" w14:textId="77777777" w:rsidR="00922377" w:rsidRPr="00DB343C" w:rsidRDefault="00000000">
      <w:pPr>
        <w:pStyle w:val="Heading2"/>
        <w:rPr>
          <w:color w:val="365F91" w:themeColor="accent1" w:themeShade="BF"/>
        </w:rPr>
      </w:pPr>
      <w:r w:rsidRPr="00DB343C">
        <w:rPr>
          <w:color w:val="365F91" w:themeColor="accent1" w:themeShade="BF"/>
        </w:rPr>
        <w:t>Supports</w:t>
      </w:r>
    </w:p>
    <w:p w14:paraId="3B7CF6EC" w14:textId="77777777" w:rsidR="00922377" w:rsidRDefault="00000000">
      <w:r>
        <w:t>Specify instructional supports (e.g., visuals, paraprofessional, peer partner).</w:t>
      </w:r>
    </w:p>
    <w:tbl>
      <w:tblPr>
        <w:tblStyle w:val="TableGrid"/>
        <w:tblW w:w="4994" w:type="pct"/>
        <w:tblLook w:val="04A0" w:firstRow="1" w:lastRow="0" w:firstColumn="1" w:lastColumn="0" w:noHBand="0" w:noVBand="1"/>
      </w:tblPr>
      <w:tblGrid>
        <w:gridCol w:w="9339"/>
      </w:tblGrid>
      <w:tr w:rsidR="00E22171" w14:paraId="276AE914" w14:textId="77777777" w:rsidTr="00D8104E">
        <w:trPr>
          <w:trHeight w:val="359"/>
        </w:trPr>
        <w:tc>
          <w:tcPr>
            <w:tcW w:w="5000" w:type="pct"/>
          </w:tcPr>
          <w:p w14:paraId="2B4C411E" w14:textId="5982DC28" w:rsidR="00E22171" w:rsidRDefault="006764B9">
            <w:r>
              <w:fldChar w:fldCharType="begin">
                <w:ffData>
                  <w:name w:val="Text9"/>
                  <w:enabled/>
                  <w:calcOnExit w:val="0"/>
                  <w:textInput/>
                </w:ffData>
              </w:fldChar>
            </w:r>
            <w:bookmarkStart w:id="8" w:name="Text9"/>
            <w:r>
              <w:instrText xml:space="preserve"> FORMTEXT </w:instrText>
            </w:r>
            <w:r>
              <w:fldChar w:fldCharType="separate"/>
            </w:r>
            <w:r w:rsidR="00BB6CCB" w:rsidRPr="00BB6CCB">
              <w:t xml:space="preserve">A visual schedule, adult presence and assurance, an appropriate pencil grip, access to sensory aids like putty, and opportunities for structured reinforcement are some of the assistance offered during the course. </w:t>
            </w:r>
            <w:r w:rsidR="00BB6CCB">
              <w:t> </w:t>
            </w:r>
            <w:r w:rsidR="00BB6CCB">
              <w:t> </w:t>
            </w:r>
            <w:r w:rsidR="00BB6CCB">
              <w:t> </w:t>
            </w:r>
            <w:r w:rsidR="00BB6CCB">
              <w:t> </w:t>
            </w:r>
            <w:r w:rsidR="00BB6CCB">
              <w:t> </w:t>
            </w:r>
            <w:r>
              <w:fldChar w:fldCharType="end"/>
            </w:r>
            <w:bookmarkEnd w:id="8"/>
          </w:p>
        </w:tc>
      </w:tr>
    </w:tbl>
    <w:p w14:paraId="44199CFE" w14:textId="77777777" w:rsidR="00922377" w:rsidRPr="00DB343C" w:rsidRDefault="00000000">
      <w:pPr>
        <w:pStyle w:val="Heading2"/>
        <w:rPr>
          <w:color w:val="365F91" w:themeColor="accent1" w:themeShade="BF"/>
        </w:rPr>
      </w:pPr>
      <w:r w:rsidRPr="00DB343C">
        <w:rPr>
          <w:color w:val="365F91" w:themeColor="accent1" w:themeShade="BF"/>
        </w:rPr>
        <w:t>Adaptations</w:t>
      </w:r>
    </w:p>
    <w:p w14:paraId="25A88D46" w14:textId="77777777" w:rsidR="00922377" w:rsidRDefault="00000000">
      <w:r>
        <w:t>Include accommodations or modifications (e.g., extra time, simplified instructions).</w:t>
      </w:r>
    </w:p>
    <w:tbl>
      <w:tblPr>
        <w:tblStyle w:val="TableGrid"/>
        <w:tblW w:w="4994" w:type="pct"/>
        <w:tblLook w:val="04A0" w:firstRow="1" w:lastRow="0" w:firstColumn="1" w:lastColumn="0" w:noHBand="0" w:noVBand="1"/>
      </w:tblPr>
      <w:tblGrid>
        <w:gridCol w:w="9339"/>
      </w:tblGrid>
      <w:tr w:rsidR="00052E8F" w14:paraId="2C39F1DD" w14:textId="77777777" w:rsidTr="00D8104E">
        <w:trPr>
          <w:trHeight w:val="449"/>
        </w:trPr>
        <w:tc>
          <w:tcPr>
            <w:tcW w:w="5000" w:type="pct"/>
          </w:tcPr>
          <w:p w14:paraId="60C97929" w14:textId="21F70EFE" w:rsidR="00052E8F" w:rsidRDefault="006764B9" w:rsidP="00410954">
            <w:r>
              <w:fldChar w:fldCharType="begin">
                <w:ffData>
                  <w:name w:val="Text10"/>
                  <w:enabled/>
                  <w:calcOnExit w:val="0"/>
                  <w:textInput/>
                </w:ffData>
              </w:fldChar>
            </w:r>
            <w:bookmarkStart w:id="9" w:name="Text10"/>
            <w:r>
              <w:instrText xml:space="preserve"> FORMTEXT </w:instrText>
            </w:r>
            <w:r>
              <w:fldChar w:fldCharType="separate"/>
            </w:r>
            <w:r w:rsidR="00410954">
              <w:t>Reduced phonics items per activity (10 words per category), longer response wait times, vocal and visual instructions, and fine-motor assistance during writing assignments are examples of adaptations.</w:t>
            </w:r>
            <w:r w:rsidR="00410954">
              <w:t> </w:t>
            </w:r>
            <w:r w:rsidR="00410954">
              <w:t> </w:t>
            </w:r>
            <w:r w:rsidR="00410954">
              <w:t> </w:t>
            </w:r>
            <w:r w:rsidR="00410954">
              <w:t> </w:t>
            </w:r>
            <w:r w:rsidR="00410954">
              <w:t> </w:t>
            </w:r>
            <w:r>
              <w:fldChar w:fldCharType="end"/>
            </w:r>
            <w:bookmarkEnd w:id="9"/>
          </w:p>
        </w:tc>
      </w:tr>
    </w:tbl>
    <w:p w14:paraId="4E407778" w14:textId="77777777" w:rsidR="00922377" w:rsidRPr="00DB343C" w:rsidRDefault="00000000">
      <w:pPr>
        <w:pStyle w:val="Heading2"/>
        <w:rPr>
          <w:color w:val="365F91" w:themeColor="accent1" w:themeShade="BF"/>
        </w:rPr>
      </w:pPr>
      <w:r w:rsidRPr="00DB343C">
        <w:rPr>
          <w:color w:val="365F91" w:themeColor="accent1" w:themeShade="BF"/>
        </w:rPr>
        <w:t>Instructional Strategies</w:t>
      </w:r>
    </w:p>
    <w:p w14:paraId="1A34038C" w14:textId="77777777" w:rsidR="00922377" w:rsidRDefault="00000000">
      <w:r>
        <w:t>Describe how you'll teach content (e.g., modeling, guided practice). Reference student needs or BIPs.</w:t>
      </w:r>
    </w:p>
    <w:tbl>
      <w:tblPr>
        <w:tblStyle w:val="TableGrid"/>
        <w:tblW w:w="4994" w:type="pct"/>
        <w:tblLook w:val="04A0" w:firstRow="1" w:lastRow="0" w:firstColumn="1" w:lastColumn="0" w:noHBand="0" w:noVBand="1"/>
      </w:tblPr>
      <w:tblGrid>
        <w:gridCol w:w="9339"/>
      </w:tblGrid>
      <w:tr w:rsidR="00052E8F" w14:paraId="358E7360" w14:textId="77777777" w:rsidTr="00D8104E">
        <w:trPr>
          <w:trHeight w:val="341"/>
        </w:trPr>
        <w:tc>
          <w:tcPr>
            <w:tcW w:w="5000" w:type="pct"/>
          </w:tcPr>
          <w:p w14:paraId="057A07EB" w14:textId="47AC9F44" w:rsidR="00052E8F" w:rsidRDefault="006764B9" w:rsidP="00410954">
            <w:r>
              <w:lastRenderedPageBreak/>
              <w:fldChar w:fldCharType="begin">
                <w:ffData>
                  <w:name w:val="Text11"/>
                  <w:enabled/>
                  <w:calcOnExit w:val="0"/>
                  <w:textInput/>
                </w:ffData>
              </w:fldChar>
            </w:r>
            <w:bookmarkStart w:id="10" w:name="Text11"/>
            <w:r>
              <w:instrText xml:space="preserve"> FORMTEXT </w:instrText>
            </w:r>
            <w:r>
              <w:fldChar w:fldCharType="separate"/>
            </w:r>
            <w:r w:rsidR="00410954">
              <w:t>Scaffolding, active learning, and explicit instruction are used in the delivery of instruction. Based on GM's learning profile and reported behavioral needs, these tactics were chosen because they have worked well for him in previous lessons. Instruction is in line with GM's Behavior Intervention Plan and IEP objectives.</w:t>
            </w:r>
            <w:r w:rsidR="00CA63BC" w:rsidRPr="00CA63BC">
              <w:rPr>
                <w:noProof/>
              </w:rPr>
              <w:t>.</w:t>
            </w:r>
            <w:r>
              <w:fldChar w:fldCharType="end"/>
            </w:r>
            <w:bookmarkEnd w:id="10"/>
          </w:p>
        </w:tc>
      </w:tr>
    </w:tbl>
    <w:p w14:paraId="5878DA3D" w14:textId="77777777" w:rsidR="00922377" w:rsidRPr="00DB343C" w:rsidRDefault="00000000">
      <w:pPr>
        <w:pStyle w:val="Heading2"/>
        <w:rPr>
          <w:color w:val="365F91" w:themeColor="accent1" w:themeShade="BF"/>
        </w:rPr>
      </w:pPr>
      <w:r w:rsidRPr="00DB343C">
        <w:rPr>
          <w:color w:val="365F91" w:themeColor="accent1" w:themeShade="BF"/>
        </w:rPr>
        <w:t>Prompting Strategy</w:t>
      </w:r>
    </w:p>
    <w:p w14:paraId="2F5941D5" w14:textId="77777777" w:rsidR="00922377" w:rsidRDefault="00000000">
      <w:r>
        <w:t>Choose forward/backward chaining. Explain rationale. Indicate time delay method and describe fading plan.</w:t>
      </w:r>
    </w:p>
    <w:tbl>
      <w:tblPr>
        <w:tblStyle w:val="TableGrid"/>
        <w:tblW w:w="4994" w:type="pct"/>
        <w:tblLook w:val="04A0" w:firstRow="1" w:lastRow="0" w:firstColumn="1" w:lastColumn="0" w:noHBand="0" w:noVBand="1"/>
      </w:tblPr>
      <w:tblGrid>
        <w:gridCol w:w="9339"/>
      </w:tblGrid>
      <w:tr w:rsidR="00052E8F" w14:paraId="0EA27E7E" w14:textId="77777777" w:rsidTr="00052E8F">
        <w:tc>
          <w:tcPr>
            <w:tcW w:w="5000" w:type="pct"/>
          </w:tcPr>
          <w:p w14:paraId="07C794C2" w14:textId="154F923C" w:rsidR="00052E8F" w:rsidRDefault="006764B9">
            <w:r>
              <w:fldChar w:fldCharType="begin">
                <w:ffData>
                  <w:name w:val="Text12"/>
                  <w:enabled/>
                  <w:calcOnExit w:val="0"/>
                  <w:textInput/>
                </w:ffData>
              </w:fldChar>
            </w:r>
            <w:bookmarkStart w:id="11" w:name="Text12"/>
            <w:r>
              <w:instrText xml:space="preserve"> FORMTEXT </w:instrText>
            </w:r>
            <w:r>
              <w:fldChar w:fldCharType="separate"/>
            </w:r>
            <w:r w:rsidR="00CA63BC" w:rsidRPr="00CA63BC">
              <w:t xml:space="preserve">A most to least prompting hierarchy is used with a 5-second time delay following the initial cue. Prompting begins with gestural prompts and progresses to verbal prompts as needed. Prompt fading occurs by increasing wait time and reducing verbal support as GM demonstrates independence. </w:t>
            </w:r>
            <w:r w:rsidR="00CA63BC">
              <w:t> </w:t>
            </w:r>
            <w:r w:rsidR="00CA63BC">
              <w:t> </w:t>
            </w:r>
            <w:r w:rsidR="00CA63BC">
              <w:t> </w:t>
            </w:r>
            <w:r w:rsidR="00CA63BC">
              <w:t> </w:t>
            </w:r>
            <w:r w:rsidR="00CA63BC">
              <w:t> </w:t>
            </w:r>
            <w:r>
              <w:fldChar w:fldCharType="end"/>
            </w:r>
            <w:bookmarkEnd w:id="11"/>
          </w:p>
        </w:tc>
      </w:tr>
    </w:tbl>
    <w:p w14:paraId="6CDC72E5" w14:textId="77777777" w:rsidR="00052E8F" w:rsidRPr="00DB343C" w:rsidRDefault="00052E8F" w:rsidP="00052E8F">
      <w:pPr>
        <w:pStyle w:val="Heading2"/>
        <w:rPr>
          <w:color w:val="365F91" w:themeColor="accent1" w:themeShade="BF"/>
        </w:rPr>
      </w:pPr>
      <w:r w:rsidRPr="00DB343C">
        <w:rPr>
          <w:color w:val="365F91" w:themeColor="accent1" w:themeShade="BF"/>
        </w:rPr>
        <w:t>Reinforcement Plan</w:t>
      </w:r>
    </w:p>
    <w:p w14:paraId="6030AAC2" w14:textId="77777777" w:rsidR="00052E8F" w:rsidRDefault="00052E8F" w:rsidP="00052E8F">
      <w:r>
        <w:t>Detail class-wide and individual reinforcement systems. Include reinforcement schedules and rationale.</w:t>
      </w:r>
    </w:p>
    <w:tbl>
      <w:tblPr>
        <w:tblStyle w:val="TableGrid"/>
        <w:tblW w:w="4994" w:type="pct"/>
        <w:tblLook w:val="04A0" w:firstRow="1" w:lastRow="0" w:firstColumn="1" w:lastColumn="0" w:noHBand="0" w:noVBand="1"/>
      </w:tblPr>
      <w:tblGrid>
        <w:gridCol w:w="9339"/>
      </w:tblGrid>
      <w:tr w:rsidR="00052E8F" w14:paraId="75B34F84" w14:textId="77777777" w:rsidTr="00D8104E">
        <w:trPr>
          <w:trHeight w:val="404"/>
        </w:trPr>
        <w:tc>
          <w:tcPr>
            <w:tcW w:w="5000" w:type="pct"/>
          </w:tcPr>
          <w:p w14:paraId="5CC93CFE" w14:textId="77777777" w:rsidR="00A242C9" w:rsidRDefault="006764B9" w:rsidP="00A242C9">
            <w:pPr>
              <w:rPr>
                <w:noProof/>
              </w:rPr>
            </w:pPr>
            <w:r>
              <w:fldChar w:fldCharType="begin">
                <w:ffData>
                  <w:name w:val="Text13"/>
                  <w:enabled/>
                  <w:calcOnExit w:val="0"/>
                  <w:textInput/>
                </w:ffData>
              </w:fldChar>
            </w:r>
            <w:bookmarkStart w:id="12" w:name="Text13"/>
            <w:r>
              <w:instrText xml:space="preserve"> FORMTEXT </w:instrText>
            </w:r>
            <w:r>
              <w:fldChar w:fldCharType="separate"/>
            </w:r>
            <w:r w:rsidR="00A242C9">
              <w:rPr>
                <w:noProof/>
              </w:rPr>
              <w:t xml:space="preserve">Reinforcement is provided consistently throughout instruction and focuses on engagement, effort, and emotional regulation rather than accuracy alone. Reinforcement includes verbal praise, token-based reinforcement tied to preferred outcomes, sensory supports, and access to a preferred break item at the conclusion of the lesson. </w:t>
            </w:r>
          </w:p>
          <w:p w14:paraId="2F35B284" w14:textId="77777777" w:rsidR="00A242C9" w:rsidRDefault="00A242C9" w:rsidP="00A242C9">
            <w:pPr>
              <w:rPr>
                <w:noProof/>
              </w:rPr>
            </w:pPr>
          </w:p>
          <w:p w14:paraId="1E747B85" w14:textId="3A0E4E6A" w:rsidR="00052E8F" w:rsidRDefault="00A242C9" w:rsidP="00A242C9">
            <w:r>
              <w:rPr>
                <w:noProof/>
              </w:rPr>
              <w:t>In addition to individual reinforcement, the classroom uses a class-wide reinforcement system represented by a “jar” displayed on the board. When the class demonstrates positive behavior, effort, and participation, items are added to the jar. Once the jar is full, students collaboratively decide on a class reward, such as extra indoor recess, video time, or a sweet treat brought by Mrs. G. This system promotes motivation, collective responsibility, and positive peer interactions while reinforcing classroom expectations.</w:t>
            </w:r>
            <w:r w:rsidR="006764B9">
              <w:fldChar w:fldCharType="end"/>
            </w:r>
            <w:bookmarkEnd w:id="12"/>
          </w:p>
        </w:tc>
      </w:tr>
    </w:tbl>
    <w:p w14:paraId="115DBBDD" w14:textId="4F573AE4" w:rsidR="00922377" w:rsidRPr="00DB343C" w:rsidRDefault="00000000">
      <w:pPr>
        <w:pStyle w:val="Heading2"/>
        <w:rPr>
          <w:color w:val="365F91" w:themeColor="accent1" w:themeShade="BF"/>
        </w:rPr>
      </w:pPr>
      <w:r w:rsidRPr="00DB343C">
        <w:rPr>
          <w:color w:val="365F91" w:themeColor="accent1" w:themeShade="BF"/>
        </w:rPr>
        <w:t>Feedback &amp; Data</w:t>
      </w:r>
    </w:p>
    <w:p w14:paraId="53FCB885" w14:textId="77777777" w:rsidR="00922377" w:rsidRDefault="00000000">
      <w:r>
        <w:t>Describe how you’ll correct errors, reinforce, and collect data (e.g., checklists, anecdotal notes).</w:t>
      </w:r>
    </w:p>
    <w:tbl>
      <w:tblPr>
        <w:tblStyle w:val="TableGrid"/>
        <w:tblW w:w="4994" w:type="pct"/>
        <w:tblLook w:val="04A0" w:firstRow="1" w:lastRow="0" w:firstColumn="1" w:lastColumn="0" w:noHBand="0" w:noVBand="1"/>
      </w:tblPr>
      <w:tblGrid>
        <w:gridCol w:w="9339"/>
      </w:tblGrid>
      <w:tr w:rsidR="00052E8F" w14:paraId="67761D77" w14:textId="77777777" w:rsidTr="00D8104E">
        <w:trPr>
          <w:trHeight w:val="359"/>
        </w:trPr>
        <w:tc>
          <w:tcPr>
            <w:tcW w:w="5000" w:type="pct"/>
          </w:tcPr>
          <w:p w14:paraId="63163EDA" w14:textId="65EAAF38" w:rsidR="00052E8F" w:rsidRDefault="006764B9" w:rsidP="00410954">
            <w:r>
              <w:fldChar w:fldCharType="begin">
                <w:ffData>
                  <w:name w:val="Text14"/>
                  <w:enabled/>
                  <w:calcOnExit w:val="0"/>
                  <w:textInput/>
                </w:ffData>
              </w:fldChar>
            </w:r>
            <w:bookmarkStart w:id="13" w:name="Text14"/>
            <w:r>
              <w:instrText xml:space="preserve"> FORMTEXT </w:instrText>
            </w:r>
            <w:r>
              <w:fldChar w:fldCharType="separate"/>
            </w:r>
            <w:r w:rsidR="00410954" w:rsidRPr="00410954">
              <w:t>A m</w:t>
            </w:r>
            <w:r w:rsidR="00410954">
              <w:t xml:space="preserve">ost to least prompt </w:t>
            </w:r>
            <w:r w:rsidR="00410954" w:rsidRPr="00410954">
              <w:t>structure is used to provide immediate remedial feedback. To keep people interested, mistakes are quickly and impartially fixed. Effort, the use of strategies, suitable reactions to errors, and accepting assistance are all specifically praised. Data is collected via an individual IEP data sheet held on a clipboard dedicated exclusively for GM. Teacher-made phonics probes that are in line with class objectives are used to gauge phonics correctness. Phonemic awareness probes integrated into regular Heggerty activities are used to test phonemic awareness abilities. Periodically, the PASI Screener is used to track advancements in phonics and decoding abilities. To monitor mastery progress over successive data days, accuracy percentages are computed for each phonics category and overall performance, and they are reviewed once a week.</w:t>
            </w:r>
            <w:r w:rsidR="00410954">
              <w:t> </w:t>
            </w:r>
            <w:r w:rsidR="00410954">
              <w:t> </w:t>
            </w:r>
            <w:r w:rsidR="00410954">
              <w:t> </w:t>
            </w:r>
            <w:r w:rsidR="00410954">
              <w:t> </w:t>
            </w:r>
            <w:r w:rsidR="00410954">
              <w:t> </w:t>
            </w:r>
            <w:r>
              <w:fldChar w:fldCharType="end"/>
            </w:r>
            <w:bookmarkEnd w:id="13"/>
          </w:p>
        </w:tc>
      </w:tr>
    </w:tbl>
    <w:p w14:paraId="213F98BD" w14:textId="77777777" w:rsidR="00922377" w:rsidRPr="00DB343C" w:rsidRDefault="00000000">
      <w:pPr>
        <w:pStyle w:val="Heading2"/>
        <w:rPr>
          <w:color w:val="365F91" w:themeColor="accent1" w:themeShade="BF"/>
        </w:rPr>
      </w:pPr>
      <w:r w:rsidRPr="00DB343C">
        <w:rPr>
          <w:color w:val="365F91" w:themeColor="accent1" w:themeShade="BF"/>
        </w:rPr>
        <w:t>Behavior Management</w:t>
      </w:r>
    </w:p>
    <w:p w14:paraId="1FD35D02" w14:textId="77777777" w:rsidR="00922377" w:rsidRDefault="00000000">
      <w:r>
        <w:t>Outline proactive and reactive strategies based on BIPs or classroom management plans.</w:t>
      </w:r>
    </w:p>
    <w:tbl>
      <w:tblPr>
        <w:tblStyle w:val="TableGrid"/>
        <w:tblW w:w="4994" w:type="pct"/>
        <w:tblLook w:val="04A0" w:firstRow="1" w:lastRow="0" w:firstColumn="1" w:lastColumn="0" w:noHBand="0" w:noVBand="1"/>
      </w:tblPr>
      <w:tblGrid>
        <w:gridCol w:w="9339"/>
      </w:tblGrid>
      <w:tr w:rsidR="00052E8F" w14:paraId="48362277" w14:textId="77777777" w:rsidTr="00D8104E">
        <w:trPr>
          <w:trHeight w:val="359"/>
        </w:trPr>
        <w:tc>
          <w:tcPr>
            <w:tcW w:w="5000" w:type="pct"/>
          </w:tcPr>
          <w:p w14:paraId="3F4B562F" w14:textId="778795C4" w:rsidR="00052E8F" w:rsidRDefault="006764B9">
            <w:r>
              <w:fldChar w:fldCharType="begin">
                <w:ffData>
                  <w:name w:val="Text15"/>
                  <w:enabled/>
                  <w:calcOnExit w:val="0"/>
                  <w:textInput/>
                </w:ffData>
              </w:fldChar>
            </w:r>
            <w:bookmarkStart w:id="14" w:name="Text15"/>
            <w:r>
              <w:instrText xml:space="preserve"> FORMTEXT </w:instrText>
            </w:r>
            <w:r>
              <w:fldChar w:fldCharType="separate"/>
            </w:r>
            <w:r w:rsidR="00410954" w:rsidRPr="00410954">
              <w:t xml:space="preserve">GM regularly adheres to an active behavior intervention plan. Clear expectations, priming, and graphic schedules are examples of proactive tactics. Regulation techniques include puttingty </w:t>
            </w:r>
            <w:r w:rsidR="00410954" w:rsidRPr="00410954">
              <w:lastRenderedPageBreak/>
              <w:t>access, slow breathing, and counting are used if GM gets agitated over losing or accepting assistance. Reactive techniques emphasize calm redirection and instructional support.</w:t>
            </w:r>
            <w:r w:rsidR="00410954">
              <w:t> </w:t>
            </w:r>
            <w:r w:rsidR="00410954">
              <w:t> </w:t>
            </w:r>
            <w:r w:rsidR="00410954">
              <w:t> </w:t>
            </w:r>
            <w:r w:rsidR="00410954">
              <w:t> </w:t>
            </w:r>
            <w:r w:rsidR="00410954">
              <w:t> </w:t>
            </w:r>
            <w:r>
              <w:fldChar w:fldCharType="end"/>
            </w:r>
            <w:bookmarkEnd w:id="14"/>
          </w:p>
        </w:tc>
      </w:tr>
    </w:tbl>
    <w:p w14:paraId="0AA3E11C" w14:textId="77777777" w:rsidR="00922377" w:rsidRPr="00DB343C" w:rsidRDefault="00000000">
      <w:pPr>
        <w:pStyle w:val="Heading2"/>
        <w:rPr>
          <w:color w:val="365F91" w:themeColor="accent1" w:themeShade="BF"/>
        </w:rPr>
      </w:pPr>
      <w:r w:rsidRPr="00DB343C">
        <w:rPr>
          <w:color w:val="365F91" w:themeColor="accent1" w:themeShade="BF"/>
        </w:rPr>
        <w:lastRenderedPageBreak/>
        <w:t>Evaluation of Learning</w:t>
      </w:r>
    </w:p>
    <w:p w14:paraId="4BFF984F" w14:textId="77777777" w:rsidR="00922377" w:rsidRDefault="00000000">
      <w:r>
        <w:t>Describe how you’ll evaluate student learning (e.g., rubric, observation, exit slip).</w:t>
      </w:r>
    </w:p>
    <w:tbl>
      <w:tblPr>
        <w:tblStyle w:val="TableGrid"/>
        <w:tblW w:w="4994" w:type="pct"/>
        <w:tblLook w:val="04A0" w:firstRow="1" w:lastRow="0" w:firstColumn="1" w:lastColumn="0" w:noHBand="0" w:noVBand="1"/>
      </w:tblPr>
      <w:tblGrid>
        <w:gridCol w:w="9339"/>
      </w:tblGrid>
      <w:tr w:rsidR="00052E8F" w14:paraId="40E9D4C4" w14:textId="77777777" w:rsidTr="00D8104E">
        <w:trPr>
          <w:trHeight w:val="359"/>
        </w:trPr>
        <w:tc>
          <w:tcPr>
            <w:tcW w:w="5000" w:type="pct"/>
          </w:tcPr>
          <w:p w14:paraId="5CE46454" w14:textId="565F4B8F" w:rsidR="00052E8F" w:rsidRDefault="006764B9">
            <w:r>
              <w:fldChar w:fldCharType="begin">
                <w:ffData>
                  <w:name w:val="Text16"/>
                  <w:enabled/>
                  <w:calcOnExit w:val="0"/>
                  <w:textInput/>
                </w:ffData>
              </w:fldChar>
            </w:r>
            <w:bookmarkStart w:id="15" w:name="Text16"/>
            <w:r>
              <w:instrText xml:space="preserve"> FORMTEXT </w:instrText>
            </w:r>
            <w:r>
              <w:fldChar w:fldCharType="separate"/>
            </w:r>
            <w:r w:rsidR="00A242C9" w:rsidRPr="00A242C9">
              <w:rPr>
                <w:noProof/>
              </w:rPr>
              <w:t>Student learning is evaluated through formal data collection using phonics and phonemic awareness probes, as well as informal observation and behavior checklists to monitor social-emotional progress.</w:t>
            </w:r>
            <w:r>
              <w:fldChar w:fldCharType="end"/>
            </w:r>
            <w:bookmarkEnd w:id="15"/>
          </w:p>
        </w:tc>
      </w:tr>
    </w:tbl>
    <w:p w14:paraId="7D2A7FA0" w14:textId="77777777" w:rsidR="00052E8F" w:rsidRDefault="00052E8F"/>
    <w:p w14:paraId="2782DDD3" w14:textId="77777777" w:rsidR="00922377" w:rsidRPr="00DB343C" w:rsidRDefault="00000000">
      <w:pPr>
        <w:pStyle w:val="Heading2"/>
        <w:rPr>
          <w:color w:val="365F91" w:themeColor="accent1" w:themeShade="BF"/>
        </w:rPr>
      </w:pPr>
      <w:r w:rsidRPr="00DB343C">
        <w:rPr>
          <w:color w:val="365F91" w:themeColor="accent1" w:themeShade="BF"/>
        </w:rPr>
        <w:t>Technology Use</w:t>
      </w:r>
    </w:p>
    <w:p w14:paraId="6284BA4C" w14:textId="77777777" w:rsidR="00922377" w:rsidRDefault="00000000">
      <w:r>
        <w:t>Indicate how technology supports the lesson (e.g., text-to-speech, interactive whiteboard).</w:t>
      </w:r>
    </w:p>
    <w:tbl>
      <w:tblPr>
        <w:tblStyle w:val="TableGrid"/>
        <w:tblW w:w="4994" w:type="pct"/>
        <w:tblLook w:val="04A0" w:firstRow="1" w:lastRow="0" w:firstColumn="1" w:lastColumn="0" w:noHBand="0" w:noVBand="1"/>
      </w:tblPr>
      <w:tblGrid>
        <w:gridCol w:w="9339"/>
      </w:tblGrid>
      <w:tr w:rsidR="00052E8F" w14:paraId="54016FA2" w14:textId="77777777" w:rsidTr="00D8104E">
        <w:trPr>
          <w:trHeight w:val="332"/>
        </w:trPr>
        <w:tc>
          <w:tcPr>
            <w:tcW w:w="5000" w:type="pct"/>
          </w:tcPr>
          <w:p w14:paraId="19558096" w14:textId="39C27D63" w:rsidR="00D26B05" w:rsidRDefault="006764B9" w:rsidP="00D26B05">
            <w:pPr>
              <w:rPr>
                <w:noProof/>
              </w:rPr>
            </w:pPr>
            <w:r>
              <w:fldChar w:fldCharType="begin">
                <w:ffData>
                  <w:name w:val="Text17"/>
                  <w:enabled/>
                  <w:calcOnExit w:val="0"/>
                  <w:textInput/>
                </w:ffData>
              </w:fldChar>
            </w:r>
            <w:bookmarkStart w:id="16" w:name="Text17"/>
            <w:r>
              <w:instrText xml:space="preserve"> FORMTEXT </w:instrText>
            </w:r>
            <w:r>
              <w:fldChar w:fldCharType="separate"/>
            </w:r>
            <w:r w:rsidR="00A242C9" w:rsidRPr="00A242C9">
              <w:rPr>
                <w:noProof/>
              </w:rPr>
              <w:t>Technology is incorporated through the use of an iPad during the lesson as motivation to support sustained engagement and positive behavior</w:t>
            </w:r>
            <w:r w:rsidR="00D26B05">
              <w:rPr>
                <w:noProof/>
              </w:rPr>
              <w:t>. This can be a trigger for GM and is outlined in his IEP and behavior data. Technology is typically used on Fridays.  (Directly related to instruction)</w:t>
            </w:r>
          </w:p>
          <w:p w14:paraId="42C9ED2A" w14:textId="77777777" w:rsidR="00D26B05" w:rsidRDefault="00D26B05" w:rsidP="00D26B05">
            <w:pPr>
              <w:rPr>
                <w:noProof/>
              </w:rPr>
            </w:pPr>
          </w:p>
          <w:p w14:paraId="1F326054" w14:textId="6192E834" w:rsidR="00D26B05" w:rsidRDefault="00D26B05" w:rsidP="00D26B05">
            <w:pPr>
              <w:rPr>
                <w:noProof/>
              </w:rPr>
            </w:pPr>
            <w:r>
              <w:rPr>
                <w:noProof/>
              </w:rPr>
              <w:t xml:space="preserve">For reward and positive behavior, GM is sometimes rewarded with a brain break video displayed on the big white board in the front of the room. He gets to choose from the list of  song choices. That is when he has chosen to work for a video break. </w:t>
            </w:r>
          </w:p>
          <w:p w14:paraId="34068C3B" w14:textId="77777777" w:rsidR="00D26B05" w:rsidRDefault="00D26B05" w:rsidP="00D26B05">
            <w:pPr>
              <w:rPr>
                <w:noProof/>
              </w:rPr>
            </w:pPr>
          </w:p>
          <w:p w14:paraId="0C19C75A" w14:textId="0032B2EB" w:rsidR="00052E8F" w:rsidRDefault="006764B9" w:rsidP="00D26B05">
            <w:r>
              <w:fldChar w:fldCharType="end"/>
            </w:r>
            <w:bookmarkEnd w:id="16"/>
          </w:p>
        </w:tc>
      </w:tr>
    </w:tbl>
    <w:p w14:paraId="18EBDCDD" w14:textId="77777777" w:rsidR="00922377" w:rsidRPr="00DB343C" w:rsidRDefault="00000000">
      <w:pPr>
        <w:pStyle w:val="Heading2"/>
        <w:rPr>
          <w:color w:val="365F91" w:themeColor="accent1" w:themeShade="BF"/>
        </w:rPr>
      </w:pPr>
      <w:r w:rsidRPr="00DB343C">
        <w:rPr>
          <w:color w:val="365F91" w:themeColor="accent1" w:themeShade="BF"/>
        </w:rPr>
        <w:t>Infuse Student Culture</w:t>
      </w:r>
    </w:p>
    <w:p w14:paraId="2B84C94D" w14:textId="77777777" w:rsidR="00922377" w:rsidRDefault="00000000">
      <w:r>
        <w:t>Incorporate cultural relevance into materials or instructional approaches.</w:t>
      </w:r>
    </w:p>
    <w:tbl>
      <w:tblPr>
        <w:tblStyle w:val="TableGrid"/>
        <w:tblW w:w="4994" w:type="pct"/>
        <w:tblLook w:val="04A0" w:firstRow="1" w:lastRow="0" w:firstColumn="1" w:lastColumn="0" w:noHBand="0" w:noVBand="1"/>
      </w:tblPr>
      <w:tblGrid>
        <w:gridCol w:w="9339"/>
      </w:tblGrid>
      <w:tr w:rsidR="00052E8F" w14:paraId="6006C771" w14:textId="77777777" w:rsidTr="00D8104E">
        <w:trPr>
          <w:trHeight w:val="368"/>
        </w:trPr>
        <w:tc>
          <w:tcPr>
            <w:tcW w:w="5000" w:type="pct"/>
          </w:tcPr>
          <w:p w14:paraId="1DCD1762" w14:textId="4AE6AB13" w:rsidR="00052E8F" w:rsidRDefault="006764B9">
            <w:r>
              <w:fldChar w:fldCharType="begin">
                <w:ffData>
                  <w:name w:val="Text18"/>
                  <w:enabled/>
                  <w:calcOnExit w:val="0"/>
                  <w:textInput/>
                </w:ffData>
              </w:fldChar>
            </w:r>
            <w:bookmarkStart w:id="17" w:name="Text18"/>
            <w:r>
              <w:instrText xml:space="preserve"> FORMTEXT </w:instrText>
            </w:r>
            <w:r>
              <w:fldChar w:fldCharType="separate"/>
            </w:r>
            <w:r w:rsidR="00410954" w:rsidRPr="00410954">
              <w:t xml:space="preserve">By choosing reinforcers and token rewards that are in line with GM's interests, instruction reflects his unique identity, preferences, and motivators. This strategy encourages positive participation, autonomy, and engagement. </w:t>
            </w:r>
            <w:r w:rsidR="00D26B05">
              <w:t xml:space="preserve"> GM is always asked, "What would you like to work for?" - This gives him a sense of having some choice in his learning and helps him feel like he is taking </w:t>
            </w:r>
            <w:proofErr w:type="spellStart"/>
            <w:r w:rsidR="00D26B05">
              <w:t>accountablitiy</w:t>
            </w:r>
            <w:proofErr w:type="spellEnd"/>
            <w:r w:rsidR="00D26B05">
              <w:t xml:space="preserve"> in some way. </w:t>
            </w:r>
            <w:r>
              <w:rPr>
                <w:noProof/>
              </w:rPr>
              <w:t> </w:t>
            </w:r>
            <w:r>
              <w:rPr>
                <w:noProof/>
              </w:rPr>
              <w:t> </w:t>
            </w:r>
            <w:r>
              <w:rPr>
                <w:noProof/>
              </w:rPr>
              <w:t> </w:t>
            </w:r>
            <w:r>
              <w:rPr>
                <w:noProof/>
              </w:rPr>
              <w:t> </w:t>
            </w:r>
            <w:r>
              <w:rPr>
                <w:noProof/>
              </w:rPr>
              <w:t> </w:t>
            </w:r>
            <w:r>
              <w:fldChar w:fldCharType="end"/>
            </w:r>
            <w:bookmarkEnd w:id="17"/>
          </w:p>
        </w:tc>
      </w:tr>
    </w:tbl>
    <w:p w14:paraId="202B5F99" w14:textId="77777777" w:rsidR="00922377" w:rsidRPr="00DB343C" w:rsidRDefault="00000000">
      <w:pPr>
        <w:pStyle w:val="Heading2"/>
        <w:rPr>
          <w:color w:val="365F91" w:themeColor="accent1" w:themeShade="BF"/>
        </w:rPr>
      </w:pPr>
      <w:r w:rsidRPr="00DB343C">
        <w:rPr>
          <w:color w:val="365F91" w:themeColor="accent1" w:themeShade="BF"/>
        </w:rPr>
        <w:t>Family Collaboration &amp; Home Learning</w:t>
      </w:r>
    </w:p>
    <w:p w14:paraId="3AFF3524" w14:textId="77777777" w:rsidR="00922377" w:rsidRDefault="00000000">
      <w:r>
        <w:t>Suggest 1–2 home learning activities and describe methods of family collaboration (e.g., phone calls, shared goal sheets).</w:t>
      </w:r>
    </w:p>
    <w:tbl>
      <w:tblPr>
        <w:tblStyle w:val="TableGrid"/>
        <w:tblW w:w="4994" w:type="pct"/>
        <w:tblLook w:val="04A0" w:firstRow="1" w:lastRow="0" w:firstColumn="1" w:lastColumn="0" w:noHBand="0" w:noVBand="1"/>
      </w:tblPr>
      <w:tblGrid>
        <w:gridCol w:w="9339"/>
      </w:tblGrid>
      <w:tr w:rsidR="00052E8F" w14:paraId="723BD73D" w14:textId="77777777" w:rsidTr="00D8104E">
        <w:trPr>
          <w:trHeight w:val="332"/>
        </w:trPr>
        <w:tc>
          <w:tcPr>
            <w:tcW w:w="5000" w:type="pct"/>
          </w:tcPr>
          <w:p w14:paraId="666C394C" w14:textId="77777777" w:rsidR="00D26B05" w:rsidRDefault="006764B9">
            <w:r>
              <w:fldChar w:fldCharType="begin">
                <w:ffData>
                  <w:name w:val="Text19"/>
                  <w:enabled/>
                  <w:calcOnExit w:val="0"/>
                  <w:textInput/>
                </w:ffData>
              </w:fldChar>
            </w:r>
            <w:bookmarkStart w:id="18" w:name="Text19"/>
            <w:r>
              <w:instrText xml:space="preserve"> FORMTEXT </w:instrText>
            </w:r>
            <w:r>
              <w:fldChar w:fldCharType="separate"/>
            </w:r>
            <w:r w:rsidR="00D26B05">
              <w:t>GM's family</w:t>
            </w:r>
            <w:r w:rsidR="00410954" w:rsidRPr="00410954">
              <w:t xml:space="preserve"> receive a weekly word list to help them practice phonics and phonemic awareness. </w:t>
            </w:r>
            <w:r w:rsidR="00D26B05">
              <w:t xml:space="preserve">It is typically the lessons that we had worked on that current week. I do not want to provide "homework" or have families introduce new and unfamiliar materials. </w:t>
            </w:r>
          </w:p>
          <w:p w14:paraId="6452B416" w14:textId="77777777" w:rsidR="00D26B05" w:rsidRDefault="00D26B05"/>
          <w:p w14:paraId="56BED69B" w14:textId="1BF23CE1" w:rsidR="00052E8F" w:rsidRDefault="00410954">
            <w:r w:rsidRPr="00410954">
              <w:t xml:space="preserve">Families are urged to include decoding practice into daily routines and to employ the same prompting and reinforcing techniques as in the classroom. Consistency between home and school is supported by ongoing communication. Every day, a teacher/parent communication sheet regarding GM's actions and behavior is sent </w:t>
            </w:r>
            <w:r w:rsidR="00D26B05">
              <w:t xml:space="preserve">in his </w:t>
            </w:r>
            <w:proofErr w:type="spellStart"/>
            <w:r w:rsidR="00D26B05">
              <w:t>backback</w:t>
            </w:r>
            <w:proofErr w:type="spellEnd"/>
            <w:r w:rsidR="00D26B05">
              <w:t xml:space="preserve"> to parents. </w:t>
            </w:r>
            <w:r w:rsidR="006764B9">
              <w:fldChar w:fldCharType="end"/>
            </w:r>
            <w:bookmarkEnd w:id="18"/>
          </w:p>
        </w:tc>
      </w:tr>
    </w:tbl>
    <w:p w14:paraId="036B7763" w14:textId="77777777" w:rsidR="00052E8F" w:rsidRDefault="00052E8F"/>
    <w:sectPr w:rsidR="00052E8F" w:rsidSect="00D8104E">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D348" w14:textId="77777777" w:rsidR="003A53C9" w:rsidRDefault="003A53C9" w:rsidP="00D8104E">
      <w:pPr>
        <w:spacing w:after="0" w:line="240" w:lineRule="auto"/>
      </w:pPr>
      <w:r>
        <w:separator/>
      </w:r>
    </w:p>
  </w:endnote>
  <w:endnote w:type="continuationSeparator" w:id="0">
    <w:p w14:paraId="4297A6E4" w14:textId="77777777" w:rsidR="003A53C9" w:rsidRDefault="003A53C9" w:rsidP="00D8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095841"/>
      <w:docPartObj>
        <w:docPartGallery w:val="Page Numbers (Bottom of Page)"/>
        <w:docPartUnique/>
      </w:docPartObj>
    </w:sdtPr>
    <w:sdtContent>
      <w:p w14:paraId="7F1196AD" w14:textId="6A18C174" w:rsidR="00D8104E" w:rsidRDefault="00D8104E" w:rsidP="00945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1E989B" w14:textId="77777777" w:rsidR="00D8104E" w:rsidRDefault="00D8104E" w:rsidP="00D810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4716905"/>
      <w:docPartObj>
        <w:docPartGallery w:val="Page Numbers (Bottom of Page)"/>
        <w:docPartUnique/>
      </w:docPartObj>
    </w:sdtPr>
    <w:sdtContent>
      <w:p w14:paraId="759366DA" w14:textId="2102612C" w:rsidR="00D8104E" w:rsidRDefault="00D8104E" w:rsidP="00945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5030F4" w14:textId="5E9A7DE9" w:rsidR="00D8104E" w:rsidRDefault="00D8104E" w:rsidP="00D8104E">
    <w:pPr>
      <w:pStyle w:val="Footer"/>
      <w:tabs>
        <w:tab w:val="clear" w:pos="9360"/>
        <w:tab w:val="right" w:pos="9270"/>
      </w:tabs>
      <w:ind w:right="360"/>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49D0" w14:textId="77777777" w:rsidR="003A53C9" w:rsidRDefault="003A53C9" w:rsidP="00D8104E">
      <w:pPr>
        <w:spacing w:after="0" w:line="240" w:lineRule="auto"/>
      </w:pPr>
      <w:r>
        <w:separator/>
      </w:r>
    </w:p>
  </w:footnote>
  <w:footnote w:type="continuationSeparator" w:id="0">
    <w:p w14:paraId="1675AEAD" w14:textId="77777777" w:rsidR="003A53C9" w:rsidRDefault="003A53C9" w:rsidP="00D81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80E6" w14:textId="659ED18C" w:rsidR="00D8104E" w:rsidRDefault="00D8104E">
    <w:pPr>
      <w:pStyle w:val="Header"/>
    </w:pPr>
    <w:r>
      <w:t>University of Kansas</w:t>
    </w:r>
    <w:r>
      <w:tab/>
    </w:r>
    <w:r>
      <w:tab/>
      <w:t>SPED 871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2519635">
    <w:abstractNumId w:val="8"/>
  </w:num>
  <w:num w:numId="2" w16cid:durableId="1862470178">
    <w:abstractNumId w:val="6"/>
  </w:num>
  <w:num w:numId="3" w16cid:durableId="1795127141">
    <w:abstractNumId w:val="5"/>
  </w:num>
  <w:num w:numId="4" w16cid:durableId="1604532458">
    <w:abstractNumId w:val="4"/>
  </w:num>
  <w:num w:numId="5" w16cid:durableId="1914118008">
    <w:abstractNumId w:val="7"/>
  </w:num>
  <w:num w:numId="6" w16cid:durableId="800270096">
    <w:abstractNumId w:val="3"/>
  </w:num>
  <w:num w:numId="7" w16cid:durableId="1795636773">
    <w:abstractNumId w:val="2"/>
  </w:num>
  <w:num w:numId="8" w16cid:durableId="1617063298">
    <w:abstractNumId w:val="1"/>
  </w:num>
  <w:num w:numId="9" w16cid:durableId="7097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E8F"/>
    <w:rsid w:val="0006063C"/>
    <w:rsid w:val="000A1E10"/>
    <w:rsid w:val="0015074B"/>
    <w:rsid w:val="0024660E"/>
    <w:rsid w:val="0029639D"/>
    <w:rsid w:val="002D46D2"/>
    <w:rsid w:val="00322BDD"/>
    <w:rsid w:val="00326F90"/>
    <w:rsid w:val="00375005"/>
    <w:rsid w:val="003A53C9"/>
    <w:rsid w:val="003F01BD"/>
    <w:rsid w:val="00410954"/>
    <w:rsid w:val="00465FC5"/>
    <w:rsid w:val="004F339C"/>
    <w:rsid w:val="00526F31"/>
    <w:rsid w:val="005D0016"/>
    <w:rsid w:val="005F384C"/>
    <w:rsid w:val="006764B9"/>
    <w:rsid w:val="006B6F35"/>
    <w:rsid w:val="006C4D4A"/>
    <w:rsid w:val="006E3BAB"/>
    <w:rsid w:val="00715270"/>
    <w:rsid w:val="008A3E5B"/>
    <w:rsid w:val="00922377"/>
    <w:rsid w:val="00A242C9"/>
    <w:rsid w:val="00AA1D8D"/>
    <w:rsid w:val="00AD7539"/>
    <w:rsid w:val="00B47730"/>
    <w:rsid w:val="00BB6CCB"/>
    <w:rsid w:val="00CA63BC"/>
    <w:rsid w:val="00CB0664"/>
    <w:rsid w:val="00D23814"/>
    <w:rsid w:val="00D26B05"/>
    <w:rsid w:val="00D35B02"/>
    <w:rsid w:val="00D8104E"/>
    <w:rsid w:val="00DB343C"/>
    <w:rsid w:val="00DE1EDF"/>
    <w:rsid w:val="00E05992"/>
    <w:rsid w:val="00E22171"/>
    <w:rsid w:val="00F43E86"/>
    <w:rsid w:val="00FA50D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91633"/>
  <w14:defaultImageDpi w14:val="300"/>
  <w15:docId w15:val="{86815B04-27E5-1541-893C-54360DD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D81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Erica Grindinger</cp:lastModifiedBy>
  <cp:revision>5</cp:revision>
  <dcterms:created xsi:type="dcterms:W3CDTF">2026-02-02T00:06:00Z</dcterms:created>
  <dcterms:modified xsi:type="dcterms:W3CDTF">2026-02-11T01:35:00Z</dcterms:modified>
  <cp:category/>
</cp:coreProperties>
</file>