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0E65" w14:textId="23E058F0" w:rsidR="00DC01AF" w:rsidRPr="00FB1557" w:rsidRDefault="00DC01AF" w:rsidP="00DC01AF">
      <w:pPr>
        <w:spacing w:line="480" w:lineRule="auto"/>
        <w:contextualSpacing/>
        <w:jc w:val="center"/>
        <w:rPr>
          <w:b/>
          <w:bCs/>
        </w:rPr>
      </w:pPr>
      <w:r>
        <w:rPr>
          <w:b/>
          <w:bCs/>
        </w:rPr>
        <w:t>Personal Philosop</w:t>
      </w:r>
      <w:r w:rsidR="00D55E33">
        <w:rPr>
          <w:b/>
          <w:bCs/>
        </w:rPr>
        <w:t>hy Statement</w:t>
      </w:r>
    </w:p>
    <w:p w14:paraId="35172BC8" w14:textId="1FAF4A84" w:rsidR="00DC01AF" w:rsidRDefault="00DC01AF" w:rsidP="00DC01AF">
      <w:pPr>
        <w:spacing w:line="480" w:lineRule="auto"/>
        <w:contextualSpacing/>
        <w:jc w:val="center"/>
      </w:pPr>
      <w:r w:rsidRPr="00412FF7">
        <w:t xml:space="preserve">SPED </w:t>
      </w:r>
      <w:r w:rsidR="00D55E33">
        <w:t>854</w:t>
      </w:r>
      <w:r w:rsidRPr="00412FF7">
        <w:t xml:space="preserve">: </w:t>
      </w:r>
      <w:r w:rsidR="00D55E33" w:rsidRPr="00D55E33">
        <w:t>Family and Interprofessional Collaboration in Special Education</w:t>
      </w:r>
    </w:p>
    <w:p w14:paraId="54F7717F" w14:textId="77777777" w:rsidR="00DC01AF" w:rsidRDefault="00DC01AF" w:rsidP="00DC01AF">
      <w:pPr>
        <w:spacing w:line="480" w:lineRule="auto"/>
        <w:contextualSpacing/>
        <w:jc w:val="center"/>
      </w:pPr>
    </w:p>
    <w:p w14:paraId="33C9E6CF" w14:textId="77777777" w:rsidR="00DC01AF" w:rsidRDefault="00DC01AF" w:rsidP="00DC01AF">
      <w:pPr>
        <w:spacing w:line="480" w:lineRule="auto"/>
        <w:contextualSpacing/>
        <w:jc w:val="center"/>
      </w:pPr>
    </w:p>
    <w:p w14:paraId="63A86C96" w14:textId="77777777" w:rsidR="00DC01AF" w:rsidRDefault="00DC01AF" w:rsidP="00DC01AF">
      <w:pPr>
        <w:spacing w:line="480" w:lineRule="auto"/>
        <w:contextualSpacing/>
        <w:jc w:val="center"/>
      </w:pPr>
    </w:p>
    <w:p w14:paraId="4F5AAB14" w14:textId="77777777" w:rsidR="00DC01AF" w:rsidRDefault="00DC01AF" w:rsidP="00DC01AF">
      <w:pPr>
        <w:spacing w:line="480" w:lineRule="auto"/>
        <w:contextualSpacing/>
        <w:jc w:val="center"/>
      </w:pPr>
      <w:r>
        <w:t>Erica Grindinger</w:t>
      </w:r>
    </w:p>
    <w:p w14:paraId="64621061" w14:textId="77777777" w:rsidR="00DC01AF" w:rsidRDefault="00DC01AF" w:rsidP="00DC01AF">
      <w:pPr>
        <w:spacing w:line="480" w:lineRule="auto"/>
        <w:contextualSpacing/>
        <w:jc w:val="center"/>
      </w:pPr>
      <w:r>
        <w:t>Department of Special Education</w:t>
      </w:r>
    </w:p>
    <w:p w14:paraId="211B4B95" w14:textId="77777777" w:rsidR="00DC01AF" w:rsidRDefault="00DC01AF" w:rsidP="00DC01AF">
      <w:pPr>
        <w:spacing w:line="480" w:lineRule="auto"/>
        <w:contextualSpacing/>
        <w:jc w:val="center"/>
      </w:pPr>
      <w:r>
        <w:t>University of Kansas</w:t>
      </w:r>
    </w:p>
    <w:p w14:paraId="2F2F4DA6" w14:textId="77777777" w:rsidR="00DC01AF" w:rsidRDefault="00DC01AF" w:rsidP="00DC01AF">
      <w:pPr>
        <w:spacing w:line="480" w:lineRule="auto"/>
        <w:contextualSpacing/>
        <w:jc w:val="center"/>
      </w:pPr>
    </w:p>
    <w:p w14:paraId="44C2ADD3" w14:textId="77777777" w:rsidR="00DC01AF" w:rsidRDefault="00DC01AF" w:rsidP="00DC01AF">
      <w:pPr>
        <w:spacing w:line="480" w:lineRule="auto"/>
        <w:contextualSpacing/>
        <w:jc w:val="center"/>
      </w:pPr>
    </w:p>
    <w:p w14:paraId="7B934D4B" w14:textId="77777777" w:rsidR="00DC01AF" w:rsidRDefault="00DC01AF" w:rsidP="00DC01AF">
      <w:pPr>
        <w:spacing w:line="480" w:lineRule="auto"/>
        <w:contextualSpacing/>
        <w:jc w:val="center"/>
      </w:pPr>
    </w:p>
    <w:p w14:paraId="5D0927B0" w14:textId="5AD1A585" w:rsidR="00DC01AF" w:rsidRDefault="00DC01AF" w:rsidP="00DC01AF">
      <w:pPr>
        <w:spacing w:line="480" w:lineRule="auto"/>
        <w:contextualSpacing/>
        <w:jc w:val="center"/>
      </w:pPr>
      <w:r>
        <w:t xml:space="preserve">Dr. </w:t>
      </w:r>
      <w:r w:rsidR="00D55E33">
        <w:t>Deborah Griswold</w:t>
      </w:r>
    </w:p>
    <w:p w14:paraId="434464ED" w14:textId="13F80DF5" w:rsidR="00DC01AF" w:rsidRDefault="00D55E33" w:rsidP="00DC01AF">
      <w:pPr>
        <w:spacing w:line="480" w:lineRule="auto"/>
        <w:contextualSpacing/>
        <w:jc w:val="center"/>
      </w:pPr>
      <w:r>
        <w:t>June 7, 2025</w:t>
      </w:r>
    </w:p>
    <w:p w14:paraId="31E0B7B5" w14:textId="77777777" w:rsidR="00DC01AF" w:rsidRDefault="00DC01AF" w:rsidP="00DC01AF"/>
    <w:p w14:paraId="14F46BE7" w14:textId="77777777" w:rsidR="00DC01AF" w:rsidRDefault="00DC01AF" w:rsidP="00DC01AF"/>
    <w:p w14:paraId="7FDC4BE4" w14:textId="77777777" w:rsidR="00DC01AF" w:rsidRDefault="00DC01AF" w:rsidP="00DC01AF"/>
    <w:p w14:paraId="415854E7" w14:textId="77777777" w:rsidR="00DC01AF" w:rsidRDefault="00DC01AF" w:rsidP="00DC01AF"/>
    <w:p w14:paraId="06E86BD6" w14:textId="77777777" w:rsidR="00DC01AF" w:rsidRDefault="00DC01AF" w:rsidP="00DC01AF">
      <w:pPr>
        <w:pStyle w:val="NormalWeb"/>
        <w:spacing w:line="480" w:lineRule="auto"/>
        <w:rPr>
          <w:rFonts w:asciiTheme="minorHAnsi" w:hAnsiTheme="minorHAnsi"/>
          <w:b/>
          <w:bCs/>
        </w:rPr>
      </w:pPr>
    </w:p>
    <w:p w14:paraId="03CC4892" w14:textId="77777777" w:rsidR="00D55E33" w:rsidRDefault="00D55E33" w:rsidP="00DC01AF">
      <w:pPr>
        <w:pStyle w:val="NormalWeb"/>
        <w:spacing w:line="480" w:lineRule="auto"/>
        <w:rPr>
          <w:rFonts w:asciiTheme="minorHAnsi" w:hAnsiTheme="minorHAnsi"/>
          <w:b/>
          <w:bCs/>
        </w:rPr>
      </w:pPr>
    </w:p>
    <w:p w14:paraId="7ACF2A75" w14:textId="77777777" w:rsidR="00DC01AF" w:rsidRDefault="00DC01AF" w:rsidP="00DC01AF">
      <w:pPr>
        <w:pStyle w:val="NormalWeb"/>
        <w:spacing w:line="480" w:lineRule="auto"/>
        <w:rPr>
          <w:rFonts w:asciiTheme="minorHAnsi" w:hAnsiTheme="minorHAnsi"/>
          <w:b/>
          <w:bCs/>
        </w:rPr>
      </w:pPr>
    </w:p>
    <w:p w14:paraId="30D1A23F" w14:textId="77777777" w:rsidR="00DC01AF" w:rsidRDefault="00DC01AF" w:rsidP="00DC01AF">
      <w:pPr>
        <w:pStyle w:val="NormalWeb"/>
        <w:spacing w:line="480" w:lineRule="auto"/>
        <w:rPr>
          <w:rFonts w:asciiTheme="minorHAnsi" w:hAnsiTheme="minorHAnsi"/>
          <w:b/>
          <w:bCs/>
        </w:rPr>
      </w:pPr>
    </w:p>
    <w:p w14:paraId="7DC07208" w14:textId="789CC229" w:rsidR="00DC01AF" w:rsidRDefault="00DC01AF" w:rsidP="00DC01AF">
      <w:pPr>
        <w:pStyle w:val="NormalWeb"/>
        <w:spacing w:line="480" w:lineRule="auto"/>
        <w:rPr>
          <w:rFonts w:asciiTheme="minorHAnsi" w:hAnsiTheme="minorHAnsi"/>
          <w:b/>
          <w:bCs/>
        </w:rPr>
      </w:pPr>
      <w:r w:rsidRPr="00DC01AF">
        <w:rPr>
          <w:rFonts w:asciiTheme="minorHAnsi" w:hAnsiTheme="minorHAnsi"/>
          <w:b/>
          <w:bCs/>
        </w:rPr>
        <w:lastRenderedPageBreak/>
        <w:t>Personal Philosophy Statement: The Role of Collaboration in Special Education</w:t>
      </w:r>
    </w:p>
    <w:p w14:paraId="7C1CB726" w14:textId="77777777" w:rsidR="00DC01AF" w:rsidRPr="00DC01AF" w:rsidRDefault="00DC01AF" w:rsidP="00DC01AF">
      <w:pPr>
        <w:pStyle w:val="NormalWeb"/>
        <w:spacing w:line="480" w:lineRule="auto"/>
        <w:ind w:firstLine="720"/>
        <w:rPr>
          <w:rFonts w:asciiTheme="minorHAnsi" w:hAnsiTheme="minorHAnsi"/>
        </w:rPr>
      </w:pPr>
      <w:r w:rsidRPr="00DC01AF">
        <w:rPr>
          <w:rFonts w:asciiTheme="minorHAnsi" w:hAnsiTheme="minorHAnsi"/>
        </w:rPr>
        <w:t xml:space="preserve">In the field of special education, collaboration is not merely a helpful strategy—it is foundational. It is the mechanism through which educators ensure that the individualized needs of students are met in ways that are both effective and legally sound. My personal philosophy is that collaboration must be </w:t>
      </w:r>
      <w:r w:rsidRPr="00DC01AF">
        <w:rPr>
          <w:rStyle w:val="Emphasis"/>
          <w:rFonts w:asciiTheme="minorHAnsi" w:eastAsiaTheme="majorEastAsia" w:hAnsiTheme="minorHAnsi"/>
        </w:rPr>
        <w:t>ongoing, intentional, and student-centered</w:t>
      </w:r>
      <w:r w:rsidRPr="00DC01AF">
        <w:rPr>
          <w:rFonts w:asciiTheme="minorHAnsi" w:hAnsiTheme="minorHAnsi"/>
        </w:rPr>
        <w:t>, serving as both a proactive and responsive process. Successful collaboration doesn’t begin when a “problem” arises; it starts well before that point—through trust-building, joint planning, and open lines of communication that anticipate student needs.</w:t>
      </w:r>
    </w:p>
    <w:p w14:paraId="74AB2177" w14:textId="77777777" w:rsidR="00DC01AF" w:rsidRPr="00DC01AF" w:rsidRDefault="00DC01AF" w:rsidP="00DC01AF">
      <w:pPr>
        <w:pStyle w:val="NormalWeb"/>
        <w:spacing w:line="480" w:lineRule="auto"/>
        <w:ind w:firstLine="720"/>
        <w:rPr>
          <w:rFonts w:asciiTheme="minorHAnsi" w:hAnsiTheme="minorHAnsi"/>
        </w:rPr>
      </w:pPr>
      <w:r w:rsidRPr="00DC01AF">
        <w:rPr>
          <w:rFonts w:asciiTheme="minorHAnsi" w:hAnsiTheme="minorHAnsi"/>
        </w:rPr>
        <w:t xml:space="preserve">The </w:t>
      </w:r>
      <w:r w:rsidRPr="00DC01AF">
        <w:rPr>
          <w:rStyle w:val="Strong"/>
          <w:rFonts w:asciiTheme="minorHAnsi" w:eastAsiaTheme="majorEastAsia" w:hAnsiTheme="minorHAnsi"/>
          <w:b w:val="0"/>
          <w:bCs w:val="0"/>
        </w:rPr>
        <w:t>Individuals with Disabilities Education Act (IDEA)</w:t>
      </w:r>
      <w:r w:rsidRPr="00DC01AF">
        <w:rPr>
          <w:rFonts w:asciiTheme="minorHAnsi" w:hAnsiTheme="minorHAnsi"/>
        </w:rPr>
        <w:t xml:space="preserve"> requires collaboration through multidisciplinary teams, parent participation, and individualized decision-making structures (Individuals with Disabilities Education Act, 2004). But legal mandates alone are not enough. Truly effective collaboration is rooted in authentic relationships, shared responsibility, and a commitment to equity. In my experience, the most meaningful student outcomes emerge when all team members—general educators, special educators, related service providers, administrators, and families—are engaged in consistent, open, and respectful communication.</w:t>
      </w:r>
    </w:p>
    <w:p w14:paraId="642FCB63" w14:textId="77777777" w:rsidR="00DC01AF" w:rsidRPr="00DC01AF" w:rsidRDefault="00DC01AF" w:rsidP="00DC01AF">
      <w:pPr>
        <w:pStyle w:val="NormalWeb"/>
        <w:spacing w:line="480" w:lineRule="auto"/>
        <w:ind w:firstLine="720"/>
        <w:rPr>
          <w:rFonts w:asciiTheme="minorHAnsi" w:hAnsiTheme="minorHAnsi"/>
        </w:rPr>
      </w:pPr>
      <w:r w:rsidRPr="00DC01AF">
        <w:rPr>
          <w:rFonts w:asciiTheme="minorHAnsi" w:hAnsiTheme="minorHAnsi"/>
        </w:rPr>
        <w:t xml:space="preserve">I believe </w:t>
      </w:r>
      <w:r w:rsidRPr="00DC01AF">
        <w:rPr>
          <w:rStyle w:val="Strong"/>
          <w:rFonts w:asciiTheme="minorHAnsi" w:eastAsiaTheme="majorEastAsia" w:hAnsiTheme="minorHAnsi"/>
          <w:b w:val="0"/>
          <w:bCs w:val="0"/>
        </w:rPr>
        <w:t>proactive collaboration</w:t>
      </w:r>
      <w:r w:rsidRPr="00DC01AF">
        <w:rPr>
          <w:rFonts w:asciiTheme="minorHAnsi" w:hAnsiTheme="minorHAnsi"/>
        </w:rPr>
        <w:t xml:space="preserve"> is critical in fostering inclusion and preventing unnecessary escalation of needs. Too often, teams wait until a student is struggling to begin the collaborative process. In contrast, collaboration that happens early—during unit planning, staffing discussions, or transitions—ensures that accommodations, modifications, and supports are embedded from the start. For example, when general and </w:t>
      </w:r>
      <w:r w:rsidRPr="00DC01AF">
        <w:rPr>
          <w:rFonts w:asciiTheme="minorHAnsi" w:hAnsiTheme="minorHAnsi"/>
        </w:rPr>
        <w:lastRenderedPageBreak/>
        <w:t>special education teachers co-plan from the outset, materials and instructional strategies are designed with all learners in mind, not just retrofitted after the fact (Friend &amp; Cook, 2016).</w:t>
      </w:r>
    </w:p>
    <w:p w14:paraId="189A8A3B" w14:textId="77777777" w:rsidR="00DC01AF" w:rsidRPr="00DC01AF" w:rsidRDefault="00DC01AF" w:rsidP="00DC01AF">
      <w:pPr>
        <w:pStyle w:val="NormalWeb"/>
        <w:spacing w:line="480" w:lineRule="auto"/>
        <w:rPr>
          <w:rFonts w:asciiTheme="minorHAnsi" w:hAnsiTheme="minorHAnsi"/>
        </w:rPr>
      </w:pPr>
      <w:r w:rsidRPr="00DC01AF">
        <w:rPr>
          <w:rFonts w:asciiTheme="minorHAnsi" w:hAnsiTheme="minorHAnsi"/>
        </w:rPr>
        <w:t>Successful collaboration relies on intentional systems. These include:</w:t>
      </w:r>
    </w:p>
    <w:p w14:paraId="7BB5B72C" w14:textId="77777777" w:rsidR="00DC01AF" w:rsidRPr="00DC01AF" w:rsidRDefault="00DC01AF" w:rsidP="00DC01AF">
      <w:pPr>
        <w:pStyle w:val="NormalWeb"/>
        <w:numPr>
          <w:ilvl w:val="0"/>
          <w:numId w:val="2"/>
        </w:numPr>
        <w:spacing w:line="480" w:lineRule="auto"/>
        <w:rPr>
          <w:rFonts w:asciiTheme="minorHAnsi" w:hAnsiTheme="minorHAnsi"/>
        </w:rPr>
      </w:pPr>
      <w:r w:rsidRPr="00DC01AF">
        <w:rPr>
          <w:rFonts w:asciiTheme="minorHAnsi" w:hAnsiTheme="minorHAnsi"/>
        </w:rPr>
        <w:t>Scheduled planning and reflection time for teams</w:t>
      </w:r>
    </w:p>
    <w:p w14:paraId="0541069A" w14:textId="77777777" w:rsidR="00DC01AF" w:rsidRPr="00DC01AF" w:rsidRDefault="00DC01AF" w:rsidP="00DC01AF">
      <w:pPr>
        <w:pStyle w:val="NormalWeb"/>
        <w:numPr>
          <w:ilvl w:val="0"/>
          <w:numId w:val="2"/>
        </w:numPr>
        <w:spacing w:line="480" w:lineRule="auto"/>
        <w:rPr>
          <w:rFonts w:asciiTheme="minorHAnsi" w:hAnsiTheme="minorHAnsi"/>
        </w:rPr>
      </w:pPr>
      <w:r w:rsidRPr="00DC01AF">
        <w:rPr>
          <w:rFonts w:asciiTheme="minorHAnsi" w:hAnsiTheme="minorHAnsi"/>
        </w:rPr>
        <w:t>Clear role definitions and expectations</w:t>
      </w:r>
    </w:p>
    <w:p w14:paraId="2AA6FFEA" w14:textId="77777777" w:rsidR="00DC01AF" w:rsidRPr="00DC01AF" w:rsidRDefault="00DC01AF" w:rsidP="00DC01AF">
      <w:pPr>
        <w:pStyle w:val="NormalWeb"/>
        <w:numPr>
          <w:ilvl w:val="0"/>
          <w:numId w:val="2"/>
        </w:numPr>
        <w:spacing w:line="480" w:lineRule="auto"/>
        <w:rPr>
          <w:rFonts w:asciiTheme="minorHAnsi" w:hAnsiTheme="minorHAnsi"/>
        </w:rPr>
      </w:pPr>
      <w:r w:rsidRPr="00DC01AF">
        <w:rPr>
          <w:rFonts w:asciiTheme="minorHAnsi" w:hAnsiTheme="minorHAnsi"/>
        </w:rPr>
        <w:t>Shared access to student data and communication tools</w:t>
      </w:r>
    </w:p>
    <w:p w14:paraId="63B46FCC" w14:textId="77777777" w:rsidR="00DC01AF" w:rsidRPr="00DC01AF" w:rsidRDefault="00DC01AF" w:rsidP="00DC01AF">
      <w:pPr>
        <w:pStyle w:val="NormalWeb"/>
        <w:numPr>
          <w:ilvl w:val="0"/>
          <w:numId w:val="2"/>
        </w:numPr>
        <w:spacing w:line="480" w:lineRule="auto"/>
        <w:rPr>
          <w:rFonts w:asciiTheme="minorHAnsi" w:hAnsiTheme="minorHAnsi"/>
        </w:rPr>
      </w:pPr>
      <w:r w:rsidRPr="00DC01AF">
        <w:rPr>
          <w:rFonts w:asciiTheme="minorHAnsi" w:hAnsiTheme="minorHAnsi"/>
        </w:rPr>
        <w:t>Structures for ongoing professional learning around inclusive practices</w:t>
      </w:r>
    </w:p>
    <w:p w14:paraId="1C31E35E" w14:textId="77777777" w:rsidR="00DC01AF" w:rsidRPr="00DC01AF" w:rsidRDefault="00DC01AF" w:rsidP="00DC01AF">
      <w:pPr>
        <w:pStyle w:val="NormalWeb"/>
        <w:spacing w:line="480" w:lineRule="auto"/>
        <w:rPr>
          <w:rFonts w:asciiTheme="minorHAnsi" w:hAnsiTheme="minorHAnsi"/>
        </w:rPr>
      </w:pPr>
      <w:r w:rsidRPr="00DC01AF">
        <w:rPr>
          <w:rFonts w:asciiTheme="minorHAnsi" w:hAnsiTheme="minorHAnsi"/>
        </w:rPr>
        <w:t>These conditions create the space for collaboration to be embedded in the culture of the school, not treated as an extra task or one-time event (Friend &amp; Cook, 2016).</w:t>
      </w:r>
    </w:p>
    <w:p w14:paraId="40EC4319" w14:textId="77777777" w:rsidR="00DC01AF" w:rsidRPr="00DC01AF" w:rsidRDefault="00DC01AF" w:rsidP="00DC01AF">
      <w:pPr>
        <w:pStyle w:val="NormalWeb"/>
        <w:spacing w:line="480" w:lineRule="auto"/>
        <w:ind w:firstLine="720"/>
        <w:rPr>
          <w:rFonts w:asciiTheme="minorHAnsi" w:hAnsiTheme="minorHAnsi"/>
        </w:rPr>
      </w:pPr>
      <w:r w:rsidRPr="00DC01AF">
        <w:rPr>
          <w:rFonts w:asciiTheme="minorHAnsi" w:hAnsiTheme="minorHAnsi"/>
        </w:rPr>
        <w:t xml:space="preserve">Collaboration must also be </w:t>
      </w:r>
      <w:r w:rsidRPr="00DC01AF">
        <w:rPr>
          <w:rStyle w:val="Strong"/>
          <w:rFonts w:asciiTheme="minorHAnsi" w:eastAsiaTheme="majorEastAsia" w:hAnsiTheme="minorHAnsi"/>
          <w:b w:val="0"/>
          <w:bCs w:val="0"/>
        </w:rPr>
        <w:t>dynamic, responsive, and evolve with the student's journey</w:t>
      </w:r>
      <w:r w:rsidRPr="00DC01AF">
        <w:rPr>
          <w:rFonts w:asciiTheme="minorHAnsi" w:hAnsiTheme="minorHAnsi"/>
        </w:rPr>
        <w:t>. Key moments for deep collaboration include transitions between grade levels, changes in service delivery, evaluations or re-evaluations, disciplinary incidents, and planning for post-secondary outcomes. At each of these points, collaborative dialogue ensures that the student's needs are understood across environments and that services remain appropriately aligned. However, it is just as essential to collaborate consistently between these critical points—ensuring that collaboration is preventive, not merely reactive.</w:t>
      </w:r>
    </w:p>
    <w:p w14:paraId="42D6E787" w14:textId="77777777" w:rsidR="00DC01AF" w:rsidRPr="00DC01AF" w:rsidRDefault="00DC01AF" w:rsidP="00DC01AF">
      <w:pPr>
        <w:pStyle w:val="NormalWeb"/>
        <w:spacing w:line="480" w:lineRule="auto"/>
        <w:ind w:firstLine="720"/>
        <w:rPr>
          <w:rFonts w:asciiTheme="minorHAnsi" w:hAnsiTheme="minorHAnsi"/>
        </w:rPr>
      </w:pPr>
      <w:r w:rsidRPr="00DC01AF">
        <w:rPr>
          <w:rFonts w:asciiTheme="minorHAnsi" w:hAnsiTheme="minorHAnsi"/>
        </w:rPr>
        <w:t xml:space="preserve">Despite its importance, meaningful collaboration is not without challenges. Barriers such as time constraints, misaligned expectations, siloed communication, and unequal </w:t>
      </w:r>
      <w:r w:rsidRPr="00DC01AF">
        <w:rPr>
          <w:rFonts w:asciiTheme="minorHAnsi" w:hAnsiTheme="minorHAnsi"/>
        </w:rPr>
        <w:lastRenderedPageBreak/>
        <w:t>power dynamics can disrupt team cohesion. I’ve experienced situations where family perspectives were unintentionally dismissed, or where special educators were excluded from general education planning. These moments highlight how collaboration must be deliberately fostered, with a focus on relationship-building, shared leadership, and inclusive decision-making.</w:t>
      </w:r>
    </w:p>
    <w:p w14:paraId="497D10E4" w14:textId="77777777" w:rsidR="00DC01AF" w:rsidRPr="00DC01AF" w:rsidRDefault="00DC01AF" w:rsidP="00DC01AF">
      <w:pPr>
        <w:pStyle w:val="NormalWeb"/>
        <w:spacing w:line="480" w:lineRule="auto"/>
        <w:ind w:firstLine="720"/>
        <w:rPr>
          <w:rFonts w:asciiTheme="minorHAnsi" w:hAnsiTheme="minorHAnsi"/>
        </w:rPr>
      </w:pPr>
      <w:r w:rsidRPr="00DC01AF">
        <w:rPr>
          <w:rStyle w:val="Strong"/>
          <w:rFonts w:asciiTheme="minorHAnsi" w:eastAsiaTheme="majorEastAsia" w:hAnsiTheme="minorHAnsi"/>
          <w:b w:val="0"/>
          <w:bCs w:val="0"/>
        </w:rPr>
        <w:t>Culture and power</w:t>
      </w:r>
      <w:r w:rsidRPr="00DC01AF">
        <w:rPr>
          <w:rFonts w:asciiTheme="minorHAnsi" w:hAnsiTheme="minorHAnsi"/>
        </w:rPr>
        <w:t xml:space="preserve"> are also central to effective collaboration. Families bring their own cultural backgrounds, languages, and understandings of disability to the table. As educators, we must approach collaboration with cultural humility, understanding that power imbalances can limit authentic engagement. True partnership means creating a space where families feel heard, valued, and empowered to co-lead educational decisions. It also means recognizing our own biases and working to dismantle systemic barriers that disproportionately affect students from marginalized communities (Harry &amp; Klingner, 2014).</w:t>
      </w:r>
    </w:p>
    <w:p w14:paraId="5DFDD56A" w14:textId="77777777" w:rsidR="00DC01AF" w:rsidRPr="00DC01AF" w:rsidRDefault="00DC01AF" w:rsidP="00DC01AF">
      <w:pPr>
        <w:pStyle w:val="NormalWeb"/>
        <w:spacing w:line="480" w:lineRule="auto"/>
        <w:ind w:firstLine="720"/>
        <w:rPr>
          <w:rFonts w:asciiTheme="minorHAnsi" w:hAnsiTheme="minorHAnsi"/>
        </w:rPr>
      </w:pPr>
      <w:r w:rsidRPr="00DC01AF">
        <w:rPr>
          <w:rFonts w:asciiTheme="minorHAnsi" w:hAnsiTheme="minorHAnsi"/>
        </w:rPr>
        <w:t>In conclusion, I believe collaboration in special education is both a legal expectation and a moral imperative. It must be proactive, continuous, and rooted in respect. When done well, collaboration not only ensures compliance with IDEA (Individuals with Disabilities Education Act, 2004) but also creates the conditions for inclusive, equitable, and empowering educational experiences for all students.</w:t>
      </w:r>
    </w:p>
    <w:p w14:paraId="6D003973" w14:textId="77777777" w:rsidR="00593524" w:rsidRDefault="00593524"/>
    <w:p w14:paraId="13A23EEC" w14:textId="77777777" w:rsidR="00DC01AF" w:rsidRDefault="00DC01AF"/>
    <w:p w14:paraId="1BF2F41D" w14:textId="77777777" w:rsidR="00D55E33" w:rsidRDefault="00D55E33" w:rsidP="00DC01AF">
      <w:pPr>
        <w:jc w:val="center"/>
      </w:pPr>
    </w:p>
    <w:p w14:paraId="11DDC86E" w14:textId="4F08B41F" w:rsidR="00DC01AF" w:rsidRDefault="00DC01AF" w:rsidP="00DC01AF">
      <w:pPr>
        <w:jc w:val="center"/>
      </w:pPr>
      <w:r>
        <w:lastRenderedPageBreak/>
        <w:t>Reference</w:t>
      </w:r>
    </w:p>
    <w:p w14:paraId="4DF79E9D" w14:textId="77777777" w:rsidR="00DC01AF" w:rsidRDefault="00DC01AF" w:rsidP="00DC01AF">
      <w:pPr>
        <w:pStyle w:val="NormalWeb"/>
        <w:spacing w:line="480" w:lineRule="auto"/>
        <w:ind w:left="720" w:hanging="720"/>
      </w:pPr>
      <w:r>
        <w:t xml:space="preserve">Friend, M., &amp; Cook, L. (2016). </w:t>
      </w:r>
      <w:r>
        <w:rPr>
          <w:rStyle w:val="Emphasis"/>
          <w:rFonts w:eastAsiaTheme="majorEastAsia"/>
        </w:rPr>
        <w:t>Interactions: Collaboration skills for school professionals</w:t>
      </w:r>
      <w:r>
        <w:t xml:space="preserve"> (8th ed.). Pearson.</w:t>
      </w:r>
    </w:p>
    <w:p w14:paraId="0DF9E2E1" w14:textId="4DD3B5F0" w:rsidR="00DC01AF" w:rsidRDefault="00DC01AF" w:rsidP="00DC01AF">
      <w:pPr>
        <w:pStyle w:val="NormalWeb"/>
        <w:spacing w:line="480" w:lineRule="auto"/>
        <w:ind w:left="720" w:hanging="720"/>
      </w:pPr>
      <w:r>
        <w:t xml:space="preserve">Harry, B., &amp; Klingner, J. (2014). </w:t>
      </w:r>
      <w:r>
        <w:rPr>
          <w:rStyle w:val="Emphasis"/>
          <w:rFonts w:eastAsiaTheme="majorEastAsia"/>
        </w:rPr>
        <w:t>Why are so many minority students in special education? Understanding race &amp; disability in schools</w:t>
      </w:r>
      <w:r>
        <w:t>. Teachers College Press.</w:t>
      </w:r>
    </w:p>
    <w:p w14:paraId="4681946D" w14:textId="77777777" w:rsidR="00DC01AF" w:rsidRDefault="00DC01AF" w:rsidP="00DC01AF">
      <w:pPr>
        <w:pStyle w:val="NormalWeb"/>
        <w:spacing w:line="480" w:lineRule="auto"/>
      </w:pPr>
      <w:r>
        <w:t>Individuals with Disabilities Education Act, 20 U.S.C. § 1400 (2004).</w:t>
      </w:r>
    </w:p>
    <w:p w14:paraId="14E778E4" w14:textId="77777777" w:rsidR="00DC01AF" w:rsidRDefault="00DC01AF" w:rsidP="00DC01AF">
      <w:pPr>
        <w:spacing w:line="480" w:lineRule="auto"/>
      </w:pPr>
    </w:p>
    <w:sectPr w:rsidR="00DC0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6681"/>
    <w:multiLevelType w:val="multilevel"/>
    <w:tmpl w:val="40C2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95A34"/>
    <w:multiLevelType w:val="multilevel"/>
    <w:tmpl w:val="B1C8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080077">
    <w:abstractNumId w:val="1"/>
  </w:num>
  <w:num w:numId="2" w16cid:durableId="159478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AF"/>
    <w:rsid w:val="00406A05"/>
    <w:rsid w:val="00522BB8"/>
    <w:rsid w:val="00593524"/>
    <w:rsid w:val="00601230"/>
    <w:rsid w:val="00640945"/>
    <w:rsid w:val="00D55E33"/>
    <w:rsid w:val="00DC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730AD7"/>
  <w15:chartTrackingRefBased/>
  <w15:docId w15:val="{833BDEF5-6AB5-F549-8E8C-4B4A0580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0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0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1AF"/>
    <w:rPr>
      <w:rFonts w:eastAsiaTheme="majorEastAsia" w:cstheme="majorBidi"/>
      <w:color w:val="272727" w:themeColor="text1" w:themeTint="D8"/>
    </w:rPr>
  </w:style>
  <w:style w:type="paragraph" w:styleId="Title">
    <w:name w:val="Title"/>
    <w:basedOn w:val="Normal"/>
    <w:next w:val="Normal"/>
    <w:link w:val="TitleChar"/>
    <w:uiPriority w:val="10"/>
    <w:qFormat/>
    <w:rsid w:val="00DC0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1AF"/>
    <w:pPr>
      <w:spacing w:before="160"/>
      <w:jc w:val="center"/>
    </w:pPr>
    <w:rPr>
      <w:i/>
      <w:iCs/>
      <w:color w:val="404040" w:themeColor="text1" w:themeTint="BF"/>
    </w:rPr>
  </w:style>
  <w:style w:type="character" w:customStyle="1" w:styleId="QuoteChar">
    <w:name w:val="Quote Char"/>
    <w:basedOn w:val="DefaultParagraphFont"/>
    <w:link w:val="Quote"/>
    <w:uiPriority w:val="29"/>
    <w:rsid w:val="00DC01AF"/>
    <w:rPr>
      <w:i/>
      <w:iCs/>
      <w:color w:val="404040" w:themeColor="text1" w:themeTint="BF"/>
    </w:rPr>
  </w:style>
  <w:style w:type="paragraph" w:styleId="ListParagraph">
    <w:name w:val="List Paragraph"/>
    <w:basedOn w:val="Normal"/>
    <w:uiPriority w:val="34"/>
    <w:qFormat/>
    <w:rsid w:val="00DC01AF"/>
    <w:pPr>
      <w:ind w:left="720"/>
      <w:contextualSpacing/>
    </w:pPr>
  </w:style>
  <w:style w:type="character" w:styleId="IntenseEmphasis">
    <w:name w:val="Intense Emphasis"/>
    <w:basedOn w:val="DefaultParagraphFont"/>
    <w:uiPriority w:val="21"/>
    <w:qFormat/>
    <w:rsid w:val="00DC01AF"/>
    <w:rPr>
      <w:i/>
      <w:iCs/>
      <w:color w:val="0F4761" w:themeColor="accent1" w:themeShade="BF"/>
    </w:rPr>
  </w:style>
  <w:style w:type="paragraph" w:styleId="IntenseQuote">
    <w:name w:val="Intense Quote"/>
    <w:basedOn w:val="Normal"/>
    <w:next w:val="Normal"/>
    <w:link w:val="IntenseQuoteChar"/>
    <w:uiPriority w:val="30"/>
    <w:qFormat/>
    <w:rsid w:val="00DC0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1AF"/>
    <w:rPr>
      <w:i/>
      <w:iCs/>
      <w:color w:val="0F4761" w:themeColor="accent1" w:themeShade="BF"/>
    </w:rPr>
  </w:style>
  <w:style w:type="character" w:styleId="IntenseReference">
    <w:name w:val="Intense Reference"/>
    <w:basedOn w:val="DefaultParagraphFont"/>
    <w:uiPriority w:val="32"/>
    <w:qFormat/>
    <w:rsid w:val="00DC01AF"/>
    <w:rPr>
      <w:b/>
      <w:bCs/>
      <w:smallCaps/>
      <w:color w:val="0F4761" w:themeColor="accent1" w:themeShade="BF"/>
      <w:spacing w:val="5"/>
    </w:rPr>
  </w:style>
  <w:style w:type="paragraph" w:styleId="NormalWeb">
    <w:name w:val="Normal (Web)"/>
    <w:basedOn w:val="Normal"/>
    <w:uiPriority w:val="99"/>
    <w:semiHidden/>
    <w:unhideWhenUsed/>
    <w:rsid w:val="00DC01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C01AF"/>
    <w:rPr>
      <w:i/>
      <w:iCs/>
    </w:rPr>
  </w:style>
  <w:style w:type="character" w:styleId="Strong">
    <w:name w:val="Strong"/>
    <w:basedOn w:val="DefaultParagraphFont"/>
    <w:uiPriority w:val="22"/>
    <w:qFormat/>
    <w:rsid w:val="00DC0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81466">
      <w:bodyDiv w:val="1"/>
      <w:marLeft w:val="0"/>
      <w:marRight w:val="0"/>
      <w:marTop w:val="0"/>
      <w:marBottom w:val="0"/>
      <w:divBdr>
        <w:top w:val="none" w:sz="0" w:space="0" w:color="auto"/>
        <w:left w:val="none" w:sz="0" w:space="0" w:color="auto"/>
        <w:bottom w:val="none" w:sz="0" w:space="0" w:color="auto"/>
        <w:right w:val="none" w:sz="0" w:space="0" w:color="auto"/>
      </w:divBdr>
    </w:div>
    <w:div w:id="606471770">
      <w:bodyDiv w:val="1"/>
      <w:marLeft w:val="0"/>
      <w:marRight w:val="0"/>
      <w:marTop w:val="0"/>
      <w:marBottom w:val="0"/>
      <w:divBdr>
        <w:top w:val="none" w:sz="0" w:space="0" w:color="auto"/>
        <w:left w:val="none" w:sz="0" w:space="0" w:color="auto"/>
        <w:bottom w:val="none" w:sz="0" w:space="0" w:color="auto"/>
        <w:right w:val="none" w:sz="0" w:space="0" w:color="auto"/>
      </w:divBdr>
    </w:div>
    <w:div w:id="1046418114">
      <w:bodyDiv w:val="1"/>
      <w:marLeft w:val="0"/>
      <w:marRight w:val="0"/>
      <w:marTop w:val="0"/>
      <w:marBottom w:val="0"/>
      <w:divBdr>
        <w:top w:val="none" w:sz="0" w:space="0" w:color="auto"/>
        <w:left w:val="none" w:sz="0" w:space="0" w:color="auto"/>
        <w:bottom w:val="none" w:sz="0" w:space="0" w:color="auto"/>
        <w:right w:val="none" w:sz="0" w:space="0" w:color="auto"/>
      </w:divBdr>
    </w:div>
    <w:div w:id="174221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1</cp:revision>
  <dcterms:created xsi:type="dcterms:W3CDTF">2025-06-07T18:51:00Z</dcterms:created>
  <dcterms:modified xsi:type="dcterms:W3CDTF">2025-06-07T19:06:00Z</dcterms:modified>
</cp:coreProperties>
</file>