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07DD017F"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SPED 898 Literature Review Template</w:t>
      </w:r>
    </w:p>
    <w:p w14:paraId="437AC72D" w14:textId="77777777" w:rsidR="00571338" w:rsidRPr="00571338" w:rsidRDefault="00722CA0" w:rsidP="00571338">
      <w:pPr>
        <w:spacing w:line="240" w:lineRule="auto"/>
        <w:contextualSpacing/>
        <w:jc w:val="center"/>
        <w:rPr>
          <w:rStyle w:val="Strong"/>
          <w:sz w:val="28"/>
          <w:szCs w:val="28"/>
          <w:highlight w:val="yellow"/>
          <w:u w:val="single"/>
        </w:rPr>
      </w:pPr>
      <w:r w:rsidRPr="00571338">
        <w:rPr>
          <w:rStyle w:val="Strong"/>
          <w:sz w:val="28"/>
          <w:szCs w:val="28"/>
          <w:highlight w:val="yellow"/>
          <w:u w:val="single"/>
        </w:rPr>
        <w:t xml:space="preserve">Domain: </w:t>
      </w:r>
      <w:r w:rsidR="00571338" w:rsidRPr="00571338">
        <w:rPr>
          <w:rStyle w:val="Strong"/>
          <w:sz w:val="28"/>
          <w:szCs w:val="28"/>
          <w:highlight w:val="yellow"/>
          <w:u w:val="single"/>
        </w:rPr>
        <w:t>Leadership and</w:t>
      </w:r>
    </w:p>
    <w:p w14:paraId="22C9989F" w14:textId="5837DA45" w:rsidR="000D3CEF" w:rsidRDefault="00571338" w:rsidP="00571338">
      <w:pPr>
        <w:spacing w:line="240" w:lineRule="auto"/>
        <w:contextualSpacing/>
        <w:jc w:val="center"/>
        <w:rPr>
          <w:rStyle w:val="Strong"/>
        </w:rPr>
      </w:pPr>
      <w:r w:rsidRPr="00571338">
        <w:rPr>
          <w:rStyle w:val="Strong"/>
          <w:sz w:val="28"/>
          <w:szCs w:val="28"/>
          <w:highlight w:val="yellow"/>
          <w:u w:val="single"/>
        </w:rPr>
        <w:t>policy</w:t>
      </w:r>
    </w:p>
    <w:p w14:paraId="0B3998DF" w14:textId="77777777" w:rsidR="008A0B63" w:rsidRPr="008A0B63" w:rsidRDefault="008A0B63" w:rsidP="008A0B63">
      <w:pPr>
        <w:spacing w:line="240" w:lineRule="auto"/>
        <w:contextualSpacing/>
        <w:jc w:val="center"/>
        <w:rPr>
          <w:b/>
          <w:bCs/>
          <w:sz w:val="28"/>
          <w:szCs w:val="28"/>
          <w:u w:val="single"/>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579"/>
      </w:tblGrid>
      <w:tr w:rsidR="003D7C2E" w:rsidRPr="008926A5"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8926A5" w:rsidRDefault="003D7C2E" w:rsidP="007E750E">
            <w:pPr>
              <w:contextualSpacing/>
              <w:jc w:val="right"/>
              <w:rPr>
                <w:rStyle w:val="Strong"/>
                <w:rFonts w:asciiTheme="majorHAnsi" w:hAnsiTheme="majorHAnsi" w:cstheme="majorHAnsi"/>
                <w:b/>
                <w:bCs w:val="0"/>
                <w:color w:val="FFFFFF" w:themeColor="background1"/>
                <w:sz w:val="24"/>
                <w:szCs w:val="24"/>
              </w:rPr>
            </w:pPr>
            <w:r w:rsidRPr="008926A5">
              <w:rPr>
                <w:rStyle w:val="Strong"/>
                <w:rFonts w:asciiTheme="majorHAnsi" w:hAnsiTheme="majorHAnsi" w:cstheme="majorHAnsi"/>
                <w:b/>
                <w:bCs w:val="0"/>
                <w:color w:val="FFFFFF" w:themeColor="background1"/>
                <w:sz w:val="24"/>
                <w:szCs w:val="24"/>
              </w:rPr>
              <w:t>Article ONE</w:t>
            </w:r>
          </w:p>
        </w:tc>
      </w:tr>
      <w:tr w:rsidR="003D7C2E" w:rsidRPr="008926A5" w14:paraId="69BB1930" w14:textId="77777777" w:rsidTr="000F4E6E">
        <w:tc>
          <w:tcPr>
            <w:tcW w:w="11347" w:type="dxa"/>
            <w:shd w:val="clear" w:color="auto" w:fill="2E74B5" w:themeFill="accent1" w:themeFillShade="BF"/>
          </w:tcPr>
          <w:p w14:paraId="1C9A6255" w14:textId="7C72957C"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3BAFC3AD" w14:textId="77777777" w:rsidTr="000F4E6E">
        <w:tc>
          <w:tcPr>
            <w:tcW w:w="11347" w:type="dxa"/>
          </w:tcPr>
          <w:p w14:paraId="2F7D0F59" w14:textId="77777777" w:rsidR="00EF062A" w:rsidRDefault="00EF062A" w:rsidP="008A0B63">
            <w:pPr>
              <w:ind w:left="720" w:hanging="720"/>
              <w:contextualSpacing/>
            </w:pPr>
            <w:r>
              <w:t xml:space="preserve">Lee, S. H., &amp; McKee, A. (2023). Reading </w:t>
            </w:r>
            <w:proofErr w:type="spellStart"/>
            <w:r>
              <w:t>ebooks</w:t>
            </w:r>
            <w:proofErr w:type="spellEnd"/>
            <w:r>
              <w:t xml:space="preserve"> and printed books with parents: A case study of children with </w:t>
            </w:r>
          </w:p>
          <w:p w14:paraId="23C9EE5E" w14:textId="77777777" w:rsidR="00EF062A" w:rsidRDefault="00EF062A" w:rsidP="008A0B63">
            <w:pPr>
              <w:ind w:left="720" w:hanging="720"/>
              <w:contextualSpacing/>
            </w:pPr>
          </w:p>
          <w:p w14:paraId="301F95F8" w14:textId="6E3725E2" w:rsidR="00EF062A" w:rsidRDefault="00EF062A" w:rsidP="008A0B63">
            <w:pPr>
              <w:ind w:left="720" w:hanging="720"/>
              <w:contextualSpacing/>
            </w:pPr>
            <w:r>
              <w:t xml:space="preserve">     autism spectrum disorder. </w:t>
            </w:r>
            <w:r>
              <w:rPr>
                <w:rStyle w:val="Emphasis"/>
              </w:rPr>
              <w:t>Autism &amp; Developmental Language Impairments, 8</w:t>
            </w:r>
            <w:r>
              <w:t xml:space="preserve">. </w:t>
            </w:r>
          </w:p>
          <w:p w14:paraId="29F1A0A8" w14:textId="77777777" w:rsidR="00EF062A" w:rsidRDefault="00EF062A" w:rsidP="008A0B63">
            <w:pPr>
              <w:ind w:left="720" w:hanging="720"/>
              <w:contextualSpacing/>
            </w:pPr>
          </w:p>
          <w:p w14:paraId="49C23D20" w14:textId="652399A6" w:rsidR="003D7C2E" w:rsidRPr="007E750E" w:rsidRDefault="00EF062A" w:rsidP="008A0B63">
            <w:pPr>
              <w:ind w:left="720" w:hanging="720"/>
              <w:contextualSpacing/>
              <w:rPr>
                <w:rFonts w:asciiTheme="majorHAnsi" w:hAnsiTheme="majorHAnsi" w:cstheme="majorHAnsi"/>
                <w:sz w:val="24"/>
                <w:szCs w:val="24"/>
              </w:rPr>
            </w:pPr>
            <w:r>
              <w:t xml:space="preserve">     </w:t>
            </w:r>
            <w:hyperlink r:id="rId8" w:history="1">
              <w:r w:rsidRPr="004C16C7">
                <w:rPr>
                  <w:rStyle w:val="Hyperlink"/>
                </w:rPr>
                <w:t>https://doi.org/10.1177/23969415231168571</w:t>
              </w:r>
            </w:hyperlink>
          </w:p>
        </w:tc>
      </w:tr>
      <w:tr w:rsidR="003D7C2E" w:rsidRPr="008926A5" w14:paraId="0F9AFDC6" w14:textId="77777777" w:rsidTr="000F4E6E">
        <w:tc>
          <w:tcPr>
            <w:tcW w:w="11347" w:type="dxa"/>
            <w:shd w:val="clear" w:color="auto" w:fill="2E74B5" w:themeFill="accent1" w:themeFillShade="BF"/>
          </w:tcPr>
          <w:p w14:paraId="468C4E0C" w14:textId="2A2BC86D"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70E467DC" w14:textId="77777777" w:rsidTr="000F4E6E">
        <w:tc>
          <w:tcPr>
            <w:tcW w:w="11347" w:type="dxa"/>
          </w:tcPr>
          <w:p w14:paraId="1A4F57B5" w14:textId="30D8E369" w:rsidR="003D7C2E" w:rsidRPr="00830FD3" w:rsidRDefault="00571338" w:rsidP="007E750E">
            <w:pPr>
              <w:contextualSpacing/>
              <w:rPr>
                <w:rFonts w:asciiTheme="majorHAnsi" w:hAnsiTheme="majorHAnsi" w:cstheme="majorHAnsi"/>
              </w:rPr>
            </w:pPr>
            <w:r w:rsidRPr="00830FD3">
              <w:rPr>
                <w:rFonts w:asciiTheme="majorHAnsi" w:hAnsiTheme="majorHAnsi" w:cstheme="majorHAnsi"/>
              </w:rPr>
              <w:t>https://kuprimo.hosted.exlibrisgroup.com/permalink/f/1ik10ij/TN_cdi_proquest_journals_2920173630</w:t>
            </w:r>
          </w:p>
        </w:tc>
      </w:tr>
      <w:tr w:rsidR="003D7C2E" w:rsidRPr="008926A5" w14:paraId="5478F30D" w14:textId="77777777" w:rsidTr="000F4E6E">
        <w:tc>
          <w:tcPr>
            <w:tcW w:w="11347" w:type="dxa"/>
            <w:shd w:val="clear" w:color="auto" w:fill="2E74B5" w:themeFill="accent1" w:themeFillShade="BF"/>
          </w:tcPr>
          <w:p w14:paraId="60F28F86" w14:textId="430154C0"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0ED499B8" w14:textId="77777777" w:rsidTr="000F4E6E">
        <w:tc>
          <w:tcPr>
            <w:tcW w:w="11347" w:type="dxa"/>
          </w:tcPr>
          <w:p w14:paraId="3F111EBA" w14:textId="15A7BCD8" w:rsidR="003D7C2E" w:rsidRPr="008926A5" w:rsidRDefault="00571338" w:rsidP="007E750E">
            <w:pPr>
              <w:contextualSpacing/>
              <w:rPr>
                <w:rFonts w:asciiTheme="majorHAnsi" w:hAnsiTheme="majorHAnsi" w:cstheme="majorHAnsi"/>
                <w:sz w:val="24"/>
                <w:szCs w:val="24"/>
              </w:rPr>
            </w:pPr>
            <w:r w:rsidRPr="00571338">
              <w:t>Domain 8.1</w:t>
            </w:r>
            <w:r>
              <w:t xml:space="preserve"> </w:t>
            </w:r>
            <w:r w:rsidRPr="00571338">
              <w:t>Electronic, print, &amp; organizational resources on ASD</w:t>
            </w:r>
          </w:p>
        </w:tc>
      </w:tr>
      <w:tr w:rsidR="003D7C2E" w:rsidRPr="008926A5" w14:paraId="33E5CBA0" w14:textId="77777777" w:rsidTr="000F4E6E">
        <w:tc>
          <w:tcPr>
            <w:tcW w:w="11347" w:type="dxa"/>
            <w:shd w:val="clear" w:color="auto" w:fill="2E74B5" w:themeFill="accent1" w:themeFillShade="BF"/>
          </w:tcPr>
          <w:p w14:paraId="0D19DAA6" w14:textId="70849A69" w:rsidR="003D7C2E" w:rsidRPr="008926A5" w:rsidRDefault="002F371F"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9EDC260" w14:textId="77777777" w:rsidTr="000F4E6E">
        <w:tc>
          <w:tcPr>
            <w:tcW w:w="11347" w:type="dxa"/>
          </w:tcPr>
          <w:p w14:paraId="11C1913E" w14:textId="79FDA656" w:rsidR="001D7309" w:rsidRPr="00153B16" w:rsidRDefault="00571338" w:rsidP="007E750E">
            <w:pPr>
              <w:contextualSpacing/>
            </w:pPr>
            <w:r w:rsidRPr="00571338">
              <w:t>This article connects to Domain 8.1 because it directly examines the use of electronic (</w:t>
            </w:r>
            <w:proofErr w:type="spellStart"/>
            <w:r w:rsidRPr="00571338">
              <w:t>ebooks</w:t>
            </w:r>
            <w:proofErr w:type="spellEnd"/>
            <w:r w:rsidRPr="00571338">
              <w:t xml:space="preserve">) and print resources to support literacy development in children with autism spectrum disorder (ASD). In my role, it is important to understand not just whether resources exist, but how different formats (digital vs. print) impact engagement, comprehension, and learning outcomes for students with ASD. This study highlights how </w:t>
            </w:r>
            <w:proofErr w:type="spellStart"/>
            <w:r w:rsidRPr="00571338">
              <w:t>ebooks</w:t>
            </w:r>
            <w:proofErr w:type="spellEnd"/>
            <w:r w:rsidRPr="00571338">
              <w:t xml:space="preserve"> can be an effective instructional tool when used intentionally, especially when paired with parent support and explicit teaching of vocabulary. It also reinforces the need to thoughtfully select and individualize electronic resources based on how students with ASD respond to different sensory and interactive features.</w:t>
            </w:r>
          </w:p>
        </w:tc>
      </w:tr>
      <w:tr w:rsidR="003D7C2E" w:rsidRPr="008926A5" w14:paraId="537FDDC3" w14:textId="77777777" w:rsidTr="000F4E6E">
        <w:tc>
          <w:tcPr>
            <w:tcW w:w="11347" w:type="dxa"/>
            <w:shd w:val="clear" w:color="auto" w:fill="2E74B5" w:themeFill="accent1" w:themeFillShade="BF"/>
          </w:tcPr>
          <w:p w14:paraId="4146C853" w14:textId="47C2C111" w:rsidR="003D7C2E" w:rsidRPr="008926A5" w:rsidRDefault="00FA084D"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279B49D5" w14:textId="77777777" w:rsidTr="000F4E6E">
        <w:tc>
          <w:tcPr>
            <w:tcW w:w="11347" w:type="dxa"/>
          </w:tcPr>
          <w:p w14:paraId="1EE739A6" w14:textId="6268FB2F" w:rsidR="003D7C2E" w:rsidRPr="008926A5" w:rsidRDefault="00571338" w:rsidP="007E750E">
            <w:pPr>
              <w:contextualSpacing/>
              <w:rPr>
                <w:rFonts w:asciiTheme="majorHAnsi" w:hAnsiTheme="majorHAnsi" w:cstheme="majorHAnsi"/>
                <w:sz w:val="24"/>
                <w:szCs w:val="24"/>
              </w:rPr>
            </w:pPr>
            <w:r>
              <w:t xml:space="preserve">The purpose of this mixed-method case study was to explore how young children with ASD interact with animated </w:t>
            </w:r>
            <w:proofErr w:type="spellStart"/>
            <w:r>
              <w:t>ebooks</w:t>
            </w:r>
            <w:proofErr w:type="spellEnd"/>
            <w:r>
              <w:t xml:space="preserve"> compared to printed books when reading with their parents at home. The study also examined how these different formats influence engagement and word learning, and how parent support during reading impacts children’s understanding of vocabulary. The goal was to better understand how electronic literacy tools can support early reading development in children with ASD.</w:t>
            </w:r>
          </w:p>
        </w:tc>
      </w:tr>
      <w:tr w:rsidR="003D7C2E" w:rsidRPr="008926A5" w14:paraId="78164A58" w14:textId="77777777" w:rsidTr="000F4E6E">
        <w:tc>
          <w:tcPr>
            <w:tcW w:w="11347" w:type="dxa"/>
            <w:shd w:val="clear" w:color="auto" w:fill="2E74B5" w:themeFill="accent1" w:themeFillShade="BF"/>
          </w:tcPr>
          <w:p w14:paraId="508E2460" w14:textId="68AC9D78" w:rsidR="003D7C2E" w:rsidRPr="00571338" w:rsidRDefault="00FA084D" w:rsidP="007E750E">
            <w:pPr>
              <w:contextualSpacing/>
              <w:jc w:val="both"/>
              <w:rPr>
                <w:rFonts w:asciiTheme="majorHAnsi" w:hAnsiTheme="majorHAnsi" w:cstheme="majorHAnsi"/>
                <w:b/>
                <w:bCs/>
                <w:i/>
                <w:iCs/>
                <w:color w:val="FFFFFF" w:themeColor="background1"/>
                <w:sz w:val="24"/>
                <w:szCs w:val="24"/>
              </w:rPr>
            </w:pPr>
            <w:r w:rsidRPr="00571338">
              <w:rPr>
                <w:rFonts w:asciiTheme="majorHAnsi" w:hAnsiTheme="majorHAnsi" w:cstheme="majorHAnsi"/>
                <w:b/>
                <w:bCs/>
                <w:color w:val="FFFFFF" w:themeColor="background1"/>
                <w:sz w:val="24"/>
                <w:szCs w:val="24"/>
              </w:rPr>
              <w:t>Five Key Findings</w:t>
            </w:r>
            <w:r w:rsidR="007E750E" w:rsidRPr="00571338">
              <w:rPr>
                <w:rFonts w:asciiTheme="majorHAnsi" w:hAnsiTheme="majorHAnsi" w:cstheme="majorHAnsi"/>
                <w:b/>
                <w:bCs/>
                <w:color w:val="FFFFFF" w:themeColor="background1"/>
                <w:sz w:val="24"/>
                <w:szCs w:val="24"/>
              </w:rPr>
              <w:t xml:space="preserve"> Related to Your Practice –</w:t>
            </w:r>
            <w:r w:rsidR="007E750E" w:rsidRPr="00571338">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6A971966" w14:textId="77777777" w:rsidTr="000F4E6E">
        <w:tc>
          <w:tcPr>
            <w:tcW w:w="11347" w:type="dxa"/>
          </w:tcPr>
          <w:p w14:paraId="15B076E9" w14:textId="292FA848" w:rsidR="00571338" w:rsidRPr="00681077" w:rsidRDefault="00571338" w:rsidP="00681077">
            <w:pPr>
              <w:pStyle w:val="ListParagraph"/>
              <w:numPr>
                <w:ilvl w:val="0"/>
                <w:numId w:val="29"/>
              </w:numPr>
              <w:rPr>
                <w:rFonts w:cstheme="minorHAnsi"/>
              </w:rPr>
            </w:pPr>
            <w:r w:rsidRPr="00451BCB">
              <w:rPr>
                <w:rFonts w:cstheme="minorHAnsi"/>
              </w:rPr>
              <w:t xml:space="preserve">Engagement was generally higher during </w:t>
            </w:r>
            <w:proofErr w:type="spellStart"/>
            <w:r w:rsidRPr="00451BCB">
              <w:rPr>
                <w:rFonts w:cstheme="minorHAnsi"/>
              </w:rPr>
              <w:t>ebook</w:t>
            </w:r>
            <w:proofErr w:type="spellEnd"/>
            <w:r w:rsidRPr="00451BCB">
              <w:rPr>
                <w:rFonts w:cstheme="minorHAnsi"/>
              </w:rPr>
              <w:t xml:space="preserve"> reading.</w:t>
            </w:r>
            <w:r w:rsidR="00681077">
              <w:rPr>
                <w:rFonts w:cstheme="minorHAnsi"/>
              </w:rPr>
              <w:t xml:space="preserve"> T</w:t>
            </w:r>
            <w:r w:rsidRPr="00681077">
              <w:rPr>
                <w:rFonts w:cstheme="minorHAnsi"/>
              </w:rPr>
              <w:t xml:space="preserve">hree out of four children showed stronger engagement with </w:t>
            </w:r>
            <w:proofErr w:type="spellStart"/>
            <w:r w:rsidRPr="00681077">
              <w:rPr>
                <w:rFonts w:cstheme="minorHAnsi"/>
              </w:rPr>
              <w:t>ebooks</w:t>
            </w:r>
            <w:proofErr w:type="spellEnd"/>
            <w:r w:rsidRPr="00681077">
              <w:rPr>
                <w:rFonts w:cstheme="minorHAnsi"/>
              </w:rPr>
              <w:t>, which highlights the potential of digital texts to increase attention and participation in reading activities.</w:t>
            </w:r>
          </w:p>
          <w:p w14:paraId="35FE1526" w14:textId="77777777" w:rsidR="00830FD3" w:rsidRDefault="00830FD3" w:rsidP="005B3E43">
            <w:pPr>
              <w:contextualSpacing/>
              <w:rPr>
                <w:rFonts w:ascii="Times New Roman" w:hAnsi="Times New Roman" w:cs="Times New Roman"/>
              </w:rPr>
            </w:pPr>
          </w:p>
          <w:p w14:paraId="700A6F15" w14:textId="141A774C" w:rsidR="005B3E43" w:rsidRPr="00681077" w:rsidRDefault="005B3E43" w:rsidP="00681077">
            <w:pPr>
              <w:pStyle w:val="ListParagraph"/>
              <w:numPr>
                <w:ilvl w:val="0"/>
                <w:numId w:val="28"/>
              </w:numPr>
              <w:rPr>
                <w:rFonts w:cstheme="minorHAnsi"/>
              </w:rPr>
            </w:pPr>
            <w:r w:rsidRPr="00451BCB">
              <w:rPr>
                <w:rFonts w:cstheme="minorHAnsi"/>
              </w:rPr>
              <w:lastRenderedPageBreak/>
              <w:t xml:space="preserve">Children with ASD learned more word meanings from </w:t>
            </w:r>
            <w:proofErr w:type="spellStart"/>
            <w:r w:rsidRPr="00451BCB">
              <w:rPr>
                <w:rFonts w:cstheme="minorHAnsi"/>
              </w:rPr>
              <w:t>ebooks</w:t>
            </w:r>
            <w:proofErr w:type="spellEnd"/>
            <w:r w:rsidRPr="00451BCB">
              <w:rPr>
                <w:rFonts w:cstheme="minorHAnsi"/>
              </w:rPr>
              <w:t xml:space="preserve"> than printed books.</w:t>
            </w:r>
            <w:r w:rsidR="00681077">
              <w:rPr>
                <w:rFonts w:cstheme="minorHAnsi"/>
              </w:rPr>
              <w:t xml:space="preserve"> </w:t>
            </w:r>
            <w:r w:rsidRPr="00681077">
              <w:rPr>
                <w:rFonts w:cstheme="minorHAnsi"/>
              </w:rPr>
              <w:t>This suggests that interactive and animated features may support vocabulary development when used purposefully in instruction or home reading routines.</w:t>
            </w:r>
          </w:p>
          <w:p w14:paraId="2BA3E50A" w14:textId="23F1730A" w:rsidR="00830FD3" w:rsidRPr="00451BCB" w:rsidRDefault="00830FD3" w:rsidP="005B3E43">
            <w:pPr>
              <w:pStyle w:val="ListParagraph"/>
              <w:rPr>
                <w:rFonts w:cstheme="minorHAnsi"/>
              </w:rPr>
            </w:pPr>
          </w:p>
          <w:p w14:paraId="06636BB9" w14:textId="70DE1D64" w:rsidR="00830FD3" w:rsidRPr="00681077" w:rsidRDefault="00830FD3" w:rsidP="00681077">
            <w:pPr>
              <w:pStyle w:val="ListParagraph"/>
              <w:numPr>
                <w:ilvl w:val="0"/>
                <w:numId w:val="19"/>
              </w:numPr>
              <w:rPr>
                <w:rFonts w:cstheme="minorHAnsi"/>
              </w:rPr>
            </w:pPr>
            <w:r w:rsidRPr="00451BCB">
              <w:rPr>
                <w:rFonts w:cstheme="minorHAnsi"/>
              </w:rPr>
              <w:t xml:space="preserve">Parents also perceived higher engagement with </w:t>
            </w:r>
            <w:proofErr w:type="spellStart"/>
            <w:r w:rsidRPr="00451BCB">
              <w:rPr>
                <w:rFonts w:cstheme="minorHAnsi"/>
              </w:rPr>
              <w:t>ebooks</w:t>
            </w:r>
            <w:proofErr w:type="spellEnd"/>
            <w:r w:rsidRPr="00451BCB">
              <w:rPr>
                <w:rFonts w:cstheme="minorHAnsi"/>
              </w:rPr>
              <w:t>.</w:t>
            </w:r>
            <w:r w:rsidR="00681077">
              <w:rPr>
                <w:rFonts w:cstheme="minorHAnsi"/>
              </w:rPr>
              <w:t xml:space="preserve"> </w:t>
            </w:r>
            <w:r w:rsidRPr="00681077">
              <w:rPr>
                <w:rFonts w:cstheme="minorHAnsi"/>
              </w:rPr>
              <w:t xml:space="preserve">This reinforces the idea that </w:t>
            </w:r>
            <w:proofErr w:type="spellStart"/>
            <w:r w:rsidRPr="00681077">
              <w:rPr>
                <w:rFonts w:cstheme="minorHAnsi"/>
              </w:rPr>
              <w:t>ebooks</w:t>
            </w:r>
            <w:proofErr w:type="spellEnd"/>
            <w:r w:rsidRPr="00681077">
              <w:rPr>
                <w:rFonts w:cstheme="minorHAnsi"/>
              </w:rPr>
              <w:t xml:space="preserve"> may support shared reading experiences at home and improve parent–child interaction during literacy activities.</w:t>
            </w:r>
          </w:p>
          <w:p w14:paraId="26884BB6" w14:textId="77777777" w:rsidR="00830FD3" w:rsidRPr="00451BCB" w:rsidRDefault="00830FD3" w:rsidP="00830FD3">
            <w:pPr>
              <w:contextualSpacing/>
            </w:pPr>
          </w:p>
          <w:p w14:paraId="4546865B" w14:textId="2736ED1E" w:rsidR="00830FD3" w:rsidRPr="00681077" w:rsidRDefault="00830FD3" w:rsidP="00681077">
            <w:pPr>
              <w:pStyle w:val="ListParagraph"/>
              <w:numPr>
                <w:ilvl w:val="0"/>
                <w:numId w:val="19"/>
              </w:numPr>
              <w:rPr>
                <w:rFonts w:cstheme="minorHAnsi"/>
              </w:rPr>
            </w:pPr>
            <w:r w:rsidRPr="00451BCB">
              <w:rPr>
                <w:rFonts w:cstheme="minorHAnsi"/>
              </w:rPr>
              <w:t>Sensory experiences differed between formats (tactile vs. auditory).</w:t>
            </w:r>
            <w:r w:rsidR="00681077">
              <w:rPr>
                <w:rFonts w:cstheme="minorHAnsi"/>
              </w:rPr>
              <w:t xml:space="preserve"> </w:t>
            </w:r>
            <w:r w:rsidRPr="00681077">
              <w:rPr>
                <w:rFonts w:cstheme="minorHAnsi"/>
              </w:rPr>
              <w:t xml:space="preserve">Printed books tended to encourage more tactile exploration, while </w:t>
            </w:r>
            <w:proofErr w:type="spellStart"/>
            <w:r w:rsidRPr="00681077">
              <w:rPr>
                <w:rFonts w:cstheme="minorHAnsi"/>
              </w:rPr>
              <w:t>ebooks</w:t>
            </w:r>
            <w:proofErr w:type="spellEnd"/>
            <w:r w:rsidRPr="00681077">
              <w:rPr>
                <w:rFonts w:cstheme="minorHAnsi"/>
              </w:rPr>
              <w:t xml:space="preserve"> provided more auditory input, showing that both formats offer different learning pathways depending on student needs.</w:t>
            </w:r>
          </w:p>
          <w:p w14:paraId="3D90AA6D" w14:textId="3D9D3BE8" w:rsidR="00830FD3" w:rsidRPr="00451BCB" w:rsidRDefault="00830FD3" w:rsidP="00830FD3">
            <w:pPr>
              <w:ind w:left="720"/>
              <w:contextualSpacing/>
            </w:pPr>
          </w:p>
          <w:p w14:paraId="71F384C0" w14:textId="086CE6E9" w:rsidR="00830FD3" w:rsidRPr="00451BCB" w:rsidRDefault="00830FD3" w:rsidP="00451BCB">
            <w:pPr>
              <w:pStyle w:val="ListParagraph"/>
              <w:numPr>
                <w:ilvl w:val="0"/>
                <w:numId w:val="19"/>
              </w:numPr>
              <w:rPr>
                <w:rFonts w:cstheme="minorHAnsi"/>
                <w:b/>
                <w:bCs/>
              </w:rPr>
            </w:pPr>
            <w:r w:rsidRPr="00451BCB">
              <w:rPr>
                <w:rFonts w:cstheme="minorHAnsi"/>
              </w:rPr>
              <w:t xml:space="preserve">Some </w:t>
            </w:r>
            <w:proofErr w:type="spellStart"/>
            <w:r w:rsidRPr="00451BCB">
              <w:rPr>
                <w:rFonts w:cstheme="minorHAnsi"/>
              </w:rPr>
              <w:t>ebook</w:t>
            </w:r>
            <w:proofErr w:type="spellEnd"/>
            <w:r w:rsidRPr="00451BCB">
              <w:rPr>
                <w:rFonts w:cstheme="minorHAnsi"/>
              </w:rPr>
              <w:t xml:space="preserve"> features can be distracting for certain children with ASD</w:t>
            </w:r>
            <w:r w:rsidR="00681077">
              <w:rPr>
                <w:rFonts w:cstheme="minorHAnsi"/>
              </w:rPr>
              <w:t xml:space="preserve">. </w:t>
            </w:r>
            <w:r w:rsidRPr="00451BCB">
              <w:rPr>
                <w:rFonts w:cstheme="minorHAnsi"/>
              </w:rPr>
              <w:t xml:space="preserve">While </w:t>
            </w:r>
            <w:proofErr w:type="spellStart"/>
            <w:r w:rsidRPr="00451BCB">
              <w:rPr>
                <w:rFonts w:cstheme="minorHAnsi"/>
              </w:rPr>
              <w:t>ebooks</w:t>
            </w:r>
            <w:proofErr w:type="spellEnd"/>
            <w:r w:rsidRPr="00451BCB">
              <w:rPr>
                <w:rFonts w:cstheme="minorHAnsi"/>
              </w:rPr>
              <w:t xml:space="preserve"> can be beneficial, they are not universally effective. This highlights the importance of individualized selection and monitoring of digital tools based on how each student responds to sensory and interactive elements.</w:t>
            </w:r>
          </w:p>
          <w:p w14:paraId="0F988E48" w14:textId="4BD29B4F" w:rsidR="00830FD3" w:rsidRPr="00830FD3" w:rsidRDefault="00830FD3" w:rsidP="00830FD3">
            <w:pPr>
              <w:pStyle w:val="ListParagraph"/>
              <w:rPr>
                <w:rFonts w:cstheme="minorHAnsi"/>
                <w:b/>
                <w:bCs/>
              </w:rPr>
            </w:pPr>
          </w:p>
        </w:tc>
      </w:tr>
      <w:tr w:rsidR="003D7C2E" w:rsidRPr="008926A5" w14:paraId="43D81F15" w14:textId="77777777" w:rsidTr="000F4E6E">
        <w:tc>
          <w:tcPr>
            <w:tcW w:w="11347" w:type="dxa"/>
            <w:shd w:val="clear" w:color="auto" w:fill="1F4E79" w:themeFill="accent1" w:themeFillShade="80"/>
          </w:tcPr>
          <w:p w14:paraId="3C9BE620" w14:textId="6742657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TWO</w:t>
            </w:r>
          </w:p>
        </w:tc>
      </w:tr>
      <w:tr w:rsidR="003D7C2E" w:rsidRPr="008926A5" w14:paraId="3652B29E" w14:textId="77777777" w:rsidTr="000F4E6E">
        <w:tc>
          <w:tcPr>
            <w:tcW w:w="11347" w:type="dxa"/>
            <w:shd w:val="clear" w:color="auto" w:fill="2E74B5" w:themeFill="accent1" w:themeFillShade="BF"/>
          </w:tcPr>
          <w:p w14:paraId="4FE59A06" w14:textId="08C950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11601F53" w14:textId="77777777" w:rsidTr="000F4E6E">
        <w:tc>
          <w:tcPr>
            <w:tcW w:w="11347" w:type="dxa"/>
          </w:tcPr>
          <w:p w14:paraId="422DB3C9" w14:textId="77777777" w:rsidR="00830FD3" w:rsidRPr="00830FD3" w:rsidRDefault="00830FD3" w:rsidP="00830FD3">
            <w:pPr>
              <w:pStyle w:val="NormalWeb"/>
              <w:rPr>
                <w:rFonts w:asciiTheme="minorHAnsi" w:hAnsiTheme="minorHAnsi" w:cstheme="minorHAnsi"/>
                <w:sz w:val="22"/>
                <w:szCs w:val="22"/>
              </w:rPr>
            </w:pPr>
            <w:r w:rsidRPr="00830FD3">
              <w:rPr>
                <w:rFonts w:asciiTheme="minorHAnsi" w:hAnsiTheme="minorHAnsi" w:cstheme="minorHAnsi"/>
                <w:sz w:val="22"/>
                <w:szCs w:val="22"/>
              </w:rPr>
              <w:t>Wallace, D., Herbert, J., Tyler, D., &amp; McGee-</w:t>
            </w:r>
            <w:proofErr w:type="spellStart"/>
            <w:r w:rsidRPr="00830FD3">
              <w:rPr>
                <w:rFonts w:asciiTheme="minorHAnsi" w:hAnsiTheme="minorHAnsi" w:cstheme="minorHAnsi"/>
                <w:sz w:val="22"/>
                <w:szCs w:val="22"/>
              </w:rPr>
              <w:t>Hassrick</w:t>
            </w:r>
            <w:proofErr w:type="spellEnd"/>
            <w:r w:rsidRPr="00830FD3">
              <w:rPr>
                <w:rFonts w:asciiTheme="minorHAnsi" w:hAnsiTheme="minorHAnsi" w:cstheme="minorHAnsi"/>
                <w:sz w:val="22"/>
                <w:szCs w:val="22"/>
              </w:rPr>
              <w:t xml:space="preserve">, E. (2021). Interactions between individuals on the </w:t>
            </w:r>
          </w:p>
          <w:p w14:paraId="141C038F" w14:textId="77777777" w:rsidR="00830FD3" w:rsidRPr="00830FD3" w:rsidRDefault="00830FD3" w:rsidP="00830FD3">
            <w:pPr>
              <w:pStyle w:val="NormalWeb"/>
              <w:rPr>
                <w:rStyle w:val="Emphasis"/>
                <w:rFonts w:asciiTheme="minorHAnsi" w:hAnsiTheme="minorHAnsi" w:cstheme="minorHAnsi"/>
                <w:sz w:val="22"/>
                <w:szCs w:val="22"/>
              </w:rPr>
            </w:pPr>
            <w:r w:rsidRPr="00830FD3">
              <w:rPr>
                <w:rFonts w:asciiTheme="minorHAnsi" w:hAnsiTheme="minorHAnsi" w:cstheme="minorHAnsi"/>
                <w:sz w:val="22"/>
                <w:szCs w:val="22"/>
              </w:rPr>
              <w:t xml:space="preserve">     autism spectrum and the police: The fears of parents, caregivers, and professionals. </w:t>
            </w:r>
            <w:r w:rsidRPr="00830FD3">
              <w:rPr>
                <w:rStyle w:val="Emphasis"/>
                <w:rFonts w:asciiTheme="minorHAnsi" w:hAnsiTheme="minorHAnsi" w:cstheme="minorHAnsi"/>
                <w:sz w:val="22"/>
                <w:szCs w:val="22"/>
              </w:rPr>
              <w:t xml:space="preserve">Policing: A Journal </w:t>
            </w:r>
          </w:p>
          <w:p w14:paraId="671E52EC" w14:textId="6C7CEA69" w:rsidR="003D7C2E" w:rsidRPr="00830FD3" w:rsidRDefault="00830FD3" w:rsidP="00830FD3">
            <w:pPr>
              <w:pStyle w:val="NormalWeb"/>
              <w:rPr>
                <w:rFonts w:asciiTheme="minorHAnsi" w:hAnsiTheme="minorHAnsi" w:cstheme="minorHAnsi"/>
                <w:i/>
                <w:iCs/>
              </w:rPr>
            </w:pPr>
            <w:r w:rsidRPr="00830FD3">
              <w:rPr>
                <w:rStyle w:val="Emphasis"/>
                <w:rFonts w:asciiTheme="minorHAnsi" w:hAnsiTheme="minorHAnsi" w:cstheme="minorHAnsi"/>
                <w:sz w:val="22"/>
                <w:szCs w:val="22"/>
              </w:rPr>
              <w:t xml:space="preserve">     of Policy and Practice, 15</w:t>
            </w:r>
            <w:r w:rsidRPr="00830FD3">
              <w:rPr>
                <w:rFonts w:asciiTheme="minorHAnsi" w:hAnsiTheme="minorHAnsi" w:cstheme="minorHAnsi"/>
                <w:sz w:val="22"/>
                <w:szCs w:val="22"/>
              </w:rPr>
              <w:t xml:space="preserve">(2), 950–964. </w:t>
            </w:r>
            <w:hyperlink r:id="rId9" w:tgtFrame="_new" w:history="1">
              <w:r w:rsidRPr="00830FD3">
                <w:rPr>
                  <w:rStyle w:val="Hyperlink"/>
                  <w:rFonts w:asciiTheme="minorHAnsi" w:hAnsiTheme="minorHAnsi" w:cstheme="minorHAnsi"/>
                  <w:sz w:val="22"/>
                  <w:szCs w:val="22"/>
                </w:rPr>
                <w:t>https://doi.org/10.1093/police/paaa059</w:t>
              </w:r>
            </w:hyperlink>
          </w:p>
        </w:tc>
      </w:tr>
      <w:tr w:rsidR="003D7C2E" w:rsidRPr="008926A5" w14:paraId="7BC97BF7" w14:textId="77777777" w:rsidTr="000F4E6E">
        <w:tc>
          <w:tcPr>
            <w:tcW w:w="11347" w:type="dxa"/>
            <w:shd w:val="clear" w:color="auto" w:fill="2E74B5" w:themeFill="accent1" w:themeFillShade="BF"/>
          </w:tcPr>
          <w:p w14:paraId="6A3E86E2" w14:textId="2E23B3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34079CFF" w14:textId="77777777" w:rsidTr="000F4E6E">
        <w:tc>
          <w:tcPr>
            <w:tcW w:w="11347" w:type="dxa"/>
          </w:tcPr>
          <w:p w14:paraId="0BD9243A" w14:textId="00C4052C" w:rsidR="0076654A" w:rsidRPr="00830FD3" w:rsidRDefault="0076654A" w:rsidP="007E750E">
            <w:pPr>
              <w:contextualSpacing/>
              <w:rPr>
                <w:rFonts w:asciiTheme="majorHAnsi" w:hAnsiTheme="majorHAnsi" w:cstheme="majorHAnsi"/>
              </w:rPr>
            </w:pPr>
            <w:hyperlink r:id="rId10" w:history="1">
              <w:r w:rsidRPr="00830FD3">
                <w:rPr>
                  <w:rStyle w:val="Hyperlink"/>
                  <w:rFonts w:asciiTheme="majorHAnsi" w:hAnsiTheme="majorHAnsi" w:cstheme="majorHAnsi"/>
                </w:rPr>
                <w:t>https://kuprimo.hosted.exlibrisgroup.com/permalink/f/1ik10ij/TN_cdi_crossref_</w:t>
              </w:r>
            </w:hyperlink>
          </w:p>
          <w:p w14:paraId="1FE51FF4" w14:textId="5F2AE67D" w:rsidR="003D7C2E" w:rsidRPr="008926A5" w:rsidRDefault="0076654A" w:rsidP="007E750E">
            <w:pPr>
              <w:contextualSpacing/>
              <w:rPr>
                <w:rFonts w:asciiTheme="majorHAnsi" w:hAnsiTheme="majorHAnsi" w:cstheme="majorHAnsi"/>
                <w:sz w:val="24"/>
                <w:szCs w:val="24"/>
              </w:rPr>
            </w:pPr>
            <w:r w:rsidRPr="00830FD3">
              <w:rPr>
                <w:rFonts w:asciiTheme="majorHAnsi" w:hAnsiTheme="majorHAnsi" w:cstheme="majorHAnsi"/>
              </w:rPr>
              <w:t>citationtrail_10_1093_police_paaa059</w:t>
            </w:r>
          </w:p>
        </w:tc>
      </w:tr>
      <w:tr w:rsidR="003D7C2E" w:rsidRPr="008926A5" w14:paraId="44A7CA65" w14:textId="77777777" w:rsidTr="000F4E6E">
        <w:tc>
          <w:tcPr>
            <w:tcW w:w="11347" w:type="dxa"/>
            <w:shd w:val="clear" w:color="auto" w:fill="2E74B5" w:themeFill="accent1" w:themeFillShade="BF"/>
          </w:tcPr>
          <w:p w14:paraId="6C319180" w14:textId="2AABCD8A"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C98C76D" w14:textId="77777777" w:rsidTr="000F4E6E">
        <w:tc>
          <w:tcPr>
            <w:tcW w:w="11347" w:type="dxa"/>
          </w:tcPr>
          <w:p w14:paraId="18966476" w14:textId="0665C318" w:rsidR="003D7C2E" w:rsidRPr="00830FD3" w:rsidRDefault="0076654A" w:rsidP="007E750E">
            <w:pPr>
              <w:contextualSpacing/>
              <w:rPr>
                <w:rFonts w:asciiTheme="majorHAnsi" w:hAnsiTheme="majorHAnsi" w:cstheme="majorHAnsi"/>
              </w:rPr>
            </w:pPr>
            <w:r w:rsidRPr="00830FD3">
              <w:rPr>
                <w:rFonts w:asciiTheme="majorHAnsi" w:hAnsiTheme="majorHAnsi" w:cstheme="majorHAnsi"/>
              </w:rPr>
              <w:t>8.2 Prepare personnel &amp; community members for interaction with ASD</w:t>
            </w:r>
          </w:p>
        </w:tc>
      </w:tr>
      <w:tr w:rsidR="003D7C2E" w:rsidRPr="008926A5" w14:paraId="4E1CF9A0" w14:textId="77777777" w:rsidTr="000F4E6E">
        <w:tc>
          <w:tcPr>
            <w:tcW w:w="11347" w:type="dxa"/>
            <w:shd w:val="clear" w:color="auto" w:fill="2E74B5" w:themeFill="accent1" w:themeFillShade="BF"/>
          </w:tcPr>
          <w:p w14:paraId="42B8FF0A" w14:textId="535BBE55"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863CA42" w14:textId="77777777" w:rsidTr="000F4E6E">
        <w:tc>
          <w:tcPr>
            <w:tcW w:w="11347" w:type="dxa"/>
          </w:tcPr>
          <w:p w14:paraId="6DCF6508" w14:textId="25F59E25" w:rsidR="003D7C2E" w:rsidRPr="0076654A" w:rsidRDefault="0076654A" w:rsidP="008F3290">
            <w:pPr>
              <w:pStyle w:val="NormalWeb"/>
              <w:rPr>
                <w:rFonts w:asciiTheme="minorHAnsi" w:hAnsiTheme="minorHAnsi" w:cstheme="minorHAnsi"/>
                <w:sz w:val="22"/>
                <w:szCs w:val="22"/>
              </w:rPr>
            </w:pPr>
            <w:r w:rsidRPr="0076654A">
              <w:rPr>
                <w:rFonts w:asciiTheme="minorHAnsi" w:hAnsiTheme="minorHAnsi" w:cstheme="minorHAnsi"/>
                <w:sz w:val="22"/>
                <w:szCs w:val="22"/>
              </w:rPr>
              <w:t>This article connects directly to Domain 8.2 because it highlights the need to prepare both professionals and community members, including law enforcement, for appropriate and informed interactions with individuals with autism spectrum disorder (ASD). In my role, it is important to recognize that students with ASD are likely to encounter community systems, including police, and those interactions can be highly dependent on how well prepared the responding individuals are. This study reinforces the responsibility of schools and professionals to support not only student skill development, but also broader community awareness and training to reduce misunderstanding and improve safety during real-world interactions.</w:t>
            </w:r>
          </w:p>
        </w:tc>
      </w:tr>
      <w:tr w:rsidR="003D7C2E" w:rsidRPr="008926A5" w14:paraId="081F4DFA" w14:textId="77777777" w:rsidTr="000F4E6E">
        <w:tc>
          <w:tcPr>
            <w:tcW w:w="11347" w:type="dxa"/>
            <w:shd w:val="clear" w:color="auto" w:fill="2E74B5" w:themeFill="accent1" w:themeFillShade="BF"/>
          </w:tcPr>
          <w:p w14:paraId="0BB05E53" w14:textId="41E3834E"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6B4C9F81" w14:textId="77777777" w:rsidTr="000F4E6E">
        <w:tc>
          <w:tcPr>
            <w:tcW w:w="11347" w:type="dxa"/>
          </w:tcPr>
          <w:p w14:paraId="5FD436F1" w14:textId="04BB81FD" w:rsidR="003D7C2E" w:rsidRPr="00E61E89" w:rsidRDefault="0076654A" w:rsidP="007E750E">
            <w:pPr>
              <w:contextualSpacing/>
              <w:rPr>
                <w:rFonts w:asciiTheme="minorHAnsi" w:hAnsiTheme="minorHAnsi" w:cstheme="minorHAnsi"/>
              </w:rPr>
            </w:pPr>
            <w:r w:rsidRPr="0076654A">
              <w:rPr>
                <w:rFonts w:asciiTheme="minorHAnsi" w:hAnsiTheme="minorHAnsi" w:cstheme="minorHAnsi"/>
              </w:rPr>
              <w:t xml:space="preserve">The purpose of this study was to examine how frequently parents, caregivers, and professionals fear future police interactions involving individuals with ASD, and to identify the reasons behind that fear. Using survey data with both </w:t>
            </w:r>
            <w:r w:rsidRPr="0076654A">
              <w:rPr>
                <w:rFonts w:asciiTheme="minorHAnsi" w:hAnsiTheme="minorHAnsi" w:cstheme="minorHAnsi"/>
              </w:rPr>
              <w:lastRenderedPageBreak/>
              <w:t>qualitative coding and descriptive statistics, the researchers aimed to better understand concerns about communication challenges, misinterpretation of ASD-related behaviors, and the potential for escalation or use of force during police encounters.</w:t>
            </w:r>
          </w:p>
        </w:tc>
      </w:tr>
      <w:tr w:rsidR="003D7C2E" w:rsidRPr="008926A5" w14:paraId="520F71DF" w14:textId="77777777" w:rsidTr="000F4E6E">
        <w:tc>
          <w:tcPr>
            <w:tcW w:w="11347" w:type="dxa"/>
            <w:shd w:val="clear" w:color="auto" w:fill="2E74B5" w:themeFill="accent1" w:themeFillShade="BF"/>
          </w:tcPr>
          <w:p w14:paraId="2FFE83B5" w14:textId="630643BC" w:rsidR="003D7C2E" w:rsidRPr="00E61E89" w:rsidRDefault="007E750E" w:rsidP="007E750E">
            <w:pPr>
              <w:contextualSpacing/>
              <w:rPr>
                <w:rFonts w:asciiTheme="majorHAnsi" w:hAnsiTheme="majorHAnsi" w:cstheme="majorHAnsi"/>
              </w:rPr>
            </w:pPr>
            <w:r w:rsidRPr="00E61E89">
              <w:rPr>
                <w:rFonts w:asciiTheme="majorHAnsi" w:hAnsiTheme="majorHAnsi" w:cstheme="majorHAnsi"/>
                <w:b/>
                <w:bCs/>
                <w:color w:val="FFFFFF" w:themeColor="background1"/>
              </w:rPr>
              <w:lastRenderedPageBreak/>
              <w:t>Five Key Findings Related to Your Practice –</w:t>
            </w:r>
            <w:r w:rsidRPr="00E61E89">
              <w:rPr>
                <w:rFonts w:asciiTheme="majorHAnsi" w:hAnsiTheme="majorHAnsi" w:cstheme="majorHAnsi"/>
                <w:b/>
                <w:bCs/>
                <w:i/>
                <w:iCs/>
                <w:color w:val="FFFFFF" w:themeColor="background1"/>
              </w:rPr>
              <w:t xml:space="preserve"> How might you apply the results in your setting?</w:t>
            </w:r>
          </w:p>
        </w:tc>
      </w:tr>
      <w:tr w:rsidR="003D7C2E" w:rsidRPr="008926A5" w14:paraId="1E815B70" w14:textId="77777777" w:rsidTr="000F4E6E">
        <w:tc>
          <w:tcPr>
            <w:tcW w:w="11347" w:type="dxa"/>
          </w:tcPr>
          <w:p w14:paraId="7E330EDF" w14:textId="2C5F5912" w:rsidR="0076654A" w:rsidRPr="00451BCB" w:rsidRDefault="0076654A" w:rsidP="0076654A">
            <w:pPr>
              <w:numPr>
                <w:ilvl w:val="0"/>
                <w:numId w:val="19"/>
              </w:numPr>
              <w:contextualSpacing/>
              <w:rPr>
                <w:rFonts w:ascii="Times New Roman" w:hAnsi="Times New Roman" w:cs="Times New Roman"/>
              </w:rPr>
            </w:pPr>
            <w:r w:rsidRPr="00451BCB">
              <w:rPr>
                <w:rStyle w:val="Strong"/>
                <w:b w:val="0"/>
                <w:bCs w:val="0"/>
              </w:rPr>
              <w:t>A large majority of respondents (nearly 60%) reported fear of future police contact.</w:t>
            </w:r>
            <w:r w:rsidR="00681077">
              <w:rPr>
                <w:rStyle w:val="Strong"/>
                <w:b w:val="0"/>
                <w:bCs w:val="0"/>
              </w:rPr>
              <w:t xml:space="preserve"> </w:t>
            </w:r>
            <w:r w:rsidRPr="00451BCB">
              <w:t xml:space="preserve">This indicates a widespread concern among families and professionals, reinforcing the need for proactive training and preparation within communities. </w:t>
            </w:r>
          </w:p>
          <w:p w14:paraId="057C65AD" w14:textId="77777777" w:rsidR="0076654A" w:rsidRPr="00451BCB" w:rsidRDefault="0076654A" w:rsidP="0076654A">
            <w:pPr>
              <w:ind w:left="720"/>
              <w:contextualSpacing/>
              <w:rPr>
                <w:rFonts w:ascii="Times New Roman" w:hAnsi="Times New Roman" w:cs="Times New Roman"/>
              </w:rPr>
            </w:pPr>
          </w:p>
          <w:p w14:paraId="07CE839E" w14:textId="5E40F8C2" w:rsidR="0076654A" w:rsidRPr="00451BCB" w:rsidRDefault="0076654A" w:rsidP="0076654A">
            <w:pPr>
              <w:numPr>
                <w:ilvl w:val="0"/>
                <w:numId w:val="19"/>
              </w:numPr>
              <w:contextualSpacing/>
            </w:pPr>
            <w:r w:rsidRPr="00451BCB">
              <w:rPr>
                <w:rStyle w:val="Strong"/>
                <w:b w:val="0"/>
                <w:bCs w:val="0"/>
              </w:rPr>
              <w:t>Misinterpretation of ASD behaviors as non-compliance was a major concern.</w:t>
            </w:r>
            <w:r w:rsidR="00681077">
              <w:rPr>
                <w:rStyle w:val="Strong"/>
                <w:b w:val="0"/>
                <w:bCs w:val="0"/>
              </w:rPr>
              <w:t xml:space="preserve"> </w:t>
            </w:r>
            <w:r w:rsidRPr="00451BCB">
              <w:t xml:space="preserve">This highlights the importance of educating first responders on how ASD-related behaviors may present differently in stressful situations. </w:t>
            </w:r>
          </w:p>
          <w:p w14:paraId="5DFC9D34" w14:textId="77777777" w:rsidR="0076654A" w:rsidRPr="00451BCB" w:rsidRDefault="0076654A" w:rsidP="0076654A">
            <w:pPr>
              <w:contextualSpacing/>
            </w:pPr>
          </w:p>
          <w:p w14:paraId="189BE897" w14:textId="3408D6FE" w:rsidR="0076654A" w:rsidRPr="00451BCB" w:rsidRDefault="0076654A" w:rsidP="0076654A">
            <w:pPr>
              <w:numPr>
                <w:ilvl w:val="0"/>
                <w:numId w:val="19"/>
              </w:numPr>
              <w:contextualSpacing/>
            </w:pPr>
            <w:r w:rsidRPr="00451BCB">
              <w:rPr>
                <w:rStyle w:val="Strong"/>
                <w:b w:val="0"/>
                <w:bCs w:val="0"/>
              </w:rPr>
              <w:t>Communication barriers between police and individuals with ASD were frequently reported.</w:t>
            </w:r>
            <w:r w:rsidR="00681077">
              <w:rPr>
                <w:rStyle w:val="Strong"/>
                <w:b w:val="0"/>
                <w:bCs w:val="0"/>
              </w:rPr>
              <w:t xml:space="preserve"> </w:t>
            </w:r>
            <w:r w:rsidRPr="00451BCB">
              <w:t xml:space="preserve">This suggests a need for clear, accessible communication strategies and training on alternative communication approaches during crises. </w:t>
            </w:r>
          </w:p>
          <w:p w14:paraId="5B0D8F8E" w14:textId="77777777" w:rsidR="0076654A" w:rsidRPr="00451BCB" w:rsidRDefault="0076654A" w:rsidP="0076654A">
            <w:pPr>
              <w:contextualSpacing/>
            </w:pPr>
          </w:p>
          <w:p w14:paraId="1118E632" w14:textId="15EF7593" w:rsidR="0076654A" w:rsidRPr="00451BCB" w:rsidRDefault="0076654A" w:rsidP="0076654A">
            <w:pPr>
              <w:numPr>
                <w:ilvl w:val="0"/>
                <w:numId w:val="19"/>
              </w:numPr>
              <w:contextualSpacing/>
            </w:pPr>
            <w:r w:rsidRPr="00451BCB">
              <w:rPr>
                <w:rStyle w:val="Strong"/>
                <w:b w:val="0"/>
                <w:bCs w:val="0"/>
              </w:rPr>
              <w:t>Escalation of behavior during police interactions was a key fear among respondents.</w:t>
            </w:r>
            <w:r w:rsidR="00681077">
              <w:rPr>
                <w:rStyle w:val="Strong"/>
                <w:b w:val="0"/>
                <w:bCs w:val="0"/>
              </w:rPr>
              <w:t xml:space="preserve"> </w:t>
            </w:r>
            <w:r w:rsidRPr="00451BCB">
              <w:t xml:space="preserve">This reinforces the importance of understanding sensory, emotional, and situational triggers that may impact behavior under stress. </w:t>
            </w:r>
          </w:p>
          <w:p w14:paraId="684BE5A5" w14:textId="77777777" w:rsidR="0076654A" w:rsidRPr="00451BCB" w:rsidRDefault="0076654A" w:rsidP="0076654A">
            <w:pPr>
              <w:contextualSpacing/>
            </w:pPr>
          </w:p>
          <w:p w14:paraId="3E4E2A0E" w14:textId="027C184A" w:rsidR="0076654A" w:rsidRDefault="0076654A" w:rsidP="0076654A">
            <w:pPr>
              <w:numPr>
                <w:ilvl w:val="0"/>
                <w:numId w:val="19"/>
              </w:numPr>
              <w:contextualSpacing/>
            </w:pPr>
            <w:r w:rsidRPr="00451BCB">
              <w:rPr>
                <w:rStyle w:val="Strong"/>
                <w:b w:val="0"/>
                <w:bCs w:val="0"/>
              </w:rPr>
              <w:t>Concerns about misuse of force were commonly expressed.</w:t>
            </w:r>
            <w:r w:rsidR="00681077">
              <w:rPr>
                <w:rStyle w:val="Strong"/>
                <w:b w:val="0"/>
                <w:bCs w:val="0"/>
              </w:rPr>
              <w:t xml:space="preserve"> </w:t>
            </w:r>
            <w:r w:rsidRPr="00451BCB">
              <w:t>This finding underscores the need for improved ASD-specific training f</w:t>
            </w:r>
            <w:r>
              <w:t xml:space="preserve">or law enforcement to promote de-escalation, safety, and appropriate response strategies. </w:t>
            </w:r>
          </w:p>
          <w:p w14:paraId="7E6FB50B" w14:textId="14A94504" w:rsidR="00E61E89" w:rsidRPr="0076654A" w:rsidRDefault="00E61E89" w:rsidP="0076654A">
            <w:pPr>
              <w:contextualSpacing/>
              <w:rPr>
                <w:rFonts w:asciiTheme="majorHAnsi" w:hAnsiTheme="majorHAnsi" w:cstheme="majorHAnsi"/>
              </w:rPr>
            </w:pPr>
          </w:p>
        </w:tc>
      </w:tr>
      <w:tr w:rsidR="003D7C2E" w:rsidRPr="008926A5" w14:paraId="3EB79574" w14:textId="77777777" w:rsidTr="000F4E6E">
        <w:tc>
          <w:tcPr>
            <w:tcW w:w="11347" w:type="dxa"/>
            <w:shd w:val="clear" w:color="auto" w:fill="1F4E79" w:themeFill="accent1" w:themeFillShade="80"/>
          </w:tcPr>
          <w:p w14:paraId="1723426A" w14:textId="546E355D"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THREE</w:t>
            </w:r>
          </w:p>
        </w:tc>
      </w:tr>
      <w:tr w:rsidR="003D7C2E" w:rsidRPr="008926A5" w14:paraId="65B6CA52" w14:textId="77777777" w:rsidTr="000F4E6E">
        <w:tc>
          <w:tcPr>
            <w:tcW w:w="11347" w:type="dxa"/>
            <w:shd w:val="clear" w:color="auto" w:fill="2E74B5" w:themeFill="accent1" w:themeFillShade="BF"/>
          </w:tcPr>
          <w:p w14:paraId="6459D7C0" w14:textId="34679BF7"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2793A322" w14:textId="77777777" w:rsidTr="000F4E6E">
        <w:tc>
          <w:tcPr>
            <w:tcW w:w="11347" w:type="dxa"/>
          </w:tcPr>
          <w:p w14:paraId="47F5D144" w14:textId="77777777" w:rsidR="00830FD3" w:rsidRDefault="00830FD3" w:rsidP="007E750E">
            <w:pPr>
              <w:contextualSpacing/>
            </w:pPr>
            <w:r>
              <w:t xml:space="preserve">Kenney, C. K., Sreckovic, M. A., &amp; Schultz, T. R. (2026). Maximizing success: A multi-pronged process to support </w:t>
            </w:r>
          </w:p>
          <w:p w14:paraId="463C58D6" w14:textId="77777777" w:rsidR="00830FD3" w:rsidRDefault="00830FD3" w:rsidP="007E750E">
            <w:pPr>
              <w:contextualSpacing/>
            </w:pPr>
          </w:p>
          <w:p w14:paraId="7DA75435" w14:textId="0BE623BA" w:rsidR="00830FD3" w:rsidRDefault="00830FD3" w:rsidP="007E750E">
            <w:pPr>
              <w:contextualSpacing/>
            </w:pPr>
            <w:r>
              <w:t xml:space="preserve">     individuals with autism spectrum disorder in the higher education context. </w:t>
            </w:r>
            <w:r>
              <w:rPr>
                <w:rStyle w:val="Emphasis"/>
              </w:rPr>
              <w:t>Psychology in the Schools, 63</w:t>
            </w:r>
            <w:r>
              <w:t>(3), 653–</w:t>
            </w:r>
          </w:p>
          <w:p w14:paraId="67A060CF" w14:textId="77777777" w:rsidR="00830FD3" w:rsidRDefault="00830FD3" w:rsidP="007E750E">
            <w:pPr>
              <w:contextualSpacing/>
            </w:pPr>
          </w:p>
          <w:p w14:paraId="397A6579" w14:textId="1BD7FCF0" w:rsidR="003D7C2E" w:rsidRPr="008926A5" w:rsidRDefault="00830FD3" w:rsidP="007E750E">
            <w:pPr>
              <w:contextualSpacing/>
              <w:rPr>
                <w:rFonts w:asciiTheme="majorHAnsi" w:hAnsiTheme="majorHAnsi" w:cstheme="majorHAnsi"/>
                <w:sz w:val="24"/>
                <w:szCs w:val="24"/>
              </w:rPr>
            </w:pPr>
            <w:r>
              <w:t xml:space="preserve">     666. </w:t>
            </w:r>
            <w:hyperlink r:id="rId11" w:tgtFrame="_new" w:history="1">
              <w:r>
                <w:rPr>
                  <w:rStyle w:val="Hyperlink"/>
                </w:rPr>
                <w:t>https://doi.org/10.1002/pits.70117</w:t>
              </w:r>
            </w:hyperlink>
          </w:p>
        </w:tc>
      </w:tr>
      <w:tr w:rsidR="003D7C2E" w:rsidRPr="008926A5" w14:paraId="4DBE916D" w14:textId="77777777" w:rsidTr="000F4E6E">
        <w:tc>
          <w:tcPr>
            <w:tcW w:w="11347" w:type="dxa"/>
            <w:shd w:val="clear" w:color="auto" w:fill="2E74B5" w:themeFill="accent1" w:themeFillShade="BF"/>
          </w:tcPr>
          <w:p w14:paraId="46127926" w14:textId="4043A6C2"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62BD43E" w14:textId="77777777" w:rsidTr="000F4E6E">
        <w:tc>
          <w:tcPr>
            <w:tcW w:w="11347" w:type="dxa"/>
          </w:tcPr>
          <w:p w14:paraId="371906EF" w14:textId="37096E82" w:rsidR="003D7C2E" w:rsidRPr="00E61E89" w:rsidRDefault="000F4E6E" w:rsidP="000F4E6E">
            <w:pPr>
              <w:spacing w:line="630" w:lineRule="atLeast"/>
              <w:outlineLvl w:val="0"/>
            </w:pPr>
            <w:r>
              <w:t xml:space="preserve"> </w:t>
            </w:r>
            <w:r w:rsidR="0076654A" w:rsidRPr="0076654A">
              <w:t>https://kuprimo.hosted.exlibrisgroup.com/permalink/f/1ik10ij/TN_cdi_proquest_journals_3301265325</w:t>
            </w:r>
          </w:p>
        </w:tc>
      </w:tr>
      <w:tr w:rsidR="003D7C2E" w:rsidRPr="008926A5" w14:paraId="0FD4CAF6" w14:textId="77777777" w:rsidTr="000F4E6E">
        <w:tc>
          <w:tcPr>
            <w:tcW w:w="11347" w:type="dxa"/>
            <w:shd w:val="clear" w:color="auto" w:fill="2E74B5" w:themeFill="accent1" w:themeFillShade="BF"/>
          </w:tcPr>
          <w:p w14:paraId="6BD2C4CD" w14:textId="6233B516"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EF571A0" w14:textId="77777777" w:rsidTr="000F4E6E">
        <w:tc>
          <w:tcPr>
            <w:tcW w:w="11347" w:type="dxa"/>
          </w:tcPr>
          <w:p w14:paraId="150DD6C8" w14:textId="2FC99192" w:rsidR="003D7C2E" w:rsidRPr="0076654A" w:rsidRDefault="0076654A" w:rsidP="0076654A">
            <w:pPr>
              <w:shd w:val="clear" w:color="auto" w:fill="FFFFFF"/>
              <w:rPr>
                <w:rFonts w:asciiTheme="majorHAnsi" w:hAnsiTheme="majorHAnsi" w:cstheme="majorHAnsi"/>
              </w:rPr>
            </w:pPr>
            <w:r w:rsidRPr="0076654A">
              <w:rPr>
                <w:rFonts w:asciiTheme="majorHAnsi" w:hAnsiTheme="majorHAnsi" w:cstheme="majorHAnsi"/>
              </w:rPr>
              <w:t>Domain 8.3 Promote high expectations for self, staff, &amp; individuals with ASD</w:t>
            </w:r>
          </w:p>
        </w:tc>
      </w:tr>
      <w:tr w:rsidR="003D7C2E" w:rsidRPr="008926A5" w14:paraId="77B8328A" w14:textId="77777777" w:rsidTr="000F4E6E">
        <w:tc>
          <w:tcPr>
            <w:tcW w:w="11347" w:type="dxa"/>
            <w:shd w:val="clear" w:color="auto" w:fill="2E74B5" w:themeFill="accent1" w:themeFillShade="BF"/>
          </w:tcPr>
          <w:p w14:paraId="70BF58A2" w14:textId="3BEFD432"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7CDF4F6" w14:textId="77777777" w:rsidTr="000F4E6E">
        <w:tc>
          <w:tcPr>
            <w:tcW w:w="11347" w:type="dxa"/>
          </w:tcPr>
          <w:p w14:paraId="3D8E5133" w14:textId="7633ACEF" w:rsidR="003D7C2E" w:rsidRPr="000F4E6E" w:rsidRDefault="0076654A" w:rsidP="000F4E6E">
            <w:pPr>
              <w:pStyle w:val="NormalWeb"/>
              <w:rPr>
                <w:rFonts w:asciiTheme="minorHAnsi" w:hAnsiTheme="minorHAnsi" w:cstheme="minorHAnsi"/>
                <w:sz w:val="22"/>
                <w:szCs w:val="22"/>
              </w:rPr>
            </w:pPr>
            <w:r w:rsidRPr="0076654A">
              <w:rPr>
                <w:rFonts w:asciiTheme="minorHAnsi" w:hAnsiTheme="minorHAnsi" w:cstheme="minorHAnsi"/>
                <w:sz w:val="22"/>
                <w:szCs w:val="22"/>
              </w:rPr>
              <w:t xml:space="preserve">This article connects to Domain 8.3 because it focuses on raising expectations for autistic individuals as they </w:t>
            </w:r>
            <w:r w:rsidRPr="0076654A">
              <w:rPr>
                <w:rFonts w:asciiTheme="minorHAnsi" w:hAnsiTheme="minorHAnsi" w:cstheme="minorHAnsi"/>
                <w:sz w:val="22"/>
                <w:szCs w:val="22"/>
              </w:rPr>
              <w:lastRenderedPageBreak/>
              <w:t>transition into and succeed in postsecondary education settings. It emphasizes that autistic students are fully capable of attending and completing college when appropriate supports, preparation, and expectations are in place. In my role, this reinforces the importance of not limiting students based on diagnosis, but instead actively preparing them for future success through intentional planning, skill development, and collaboration between secondary and postsecondary systems. It also highlights the shared responsibility of educators, families, and institutions in maintaining high expectations while providing meaningful supports.</w:t>
            </w:r>
          </w:p>
        </w:tc>
      </w:tr>
      <w:tr w:rsidR="003D7C2E" w:rsidRPr="008926A5" w14:paraId="39B65E64" w14:textId="77777777" w:rsidTr="000F4E6E">
        <w:tc>
          <w:tcPr>
            <w:tcW w:w="11347" w:type="dxa"/>
            <w:shd w:val="clear" w:color="auto" w:fill="2E74B5" w:themeFill="accent1" w:themeFillShade="BF"/>
          </w:tcPr>
          <w:p w14:paraId="219DB1B0" w14:textId="68BC45EE" w:rsidR="003D7C2E" w:rsidRPr="000F4E6E" w:rsidRDefault="00FA084D" w:rsidP="007E750E">
            <w:pPr>
              <w:contextualSpacing/>
              <w:rPr>
                <w:rFonts w:asciiTheme="minorHAnsi" w:hAnsiTheme="minorHAnsi" w:cstheme="minorHAnsi"/>
              </w:rPr>
            </w:pPr>
            <w:r w:rsidRPr="000F4E6E">
              <w:rPr>
                <w:rFonts w:asciiTheme="minorHAnsi" w:hAnsiTheme="minorHAnsi" w:cstheme="minorHAnsi"/>
                <w:b/>
                <w:bCs/>
                <w:color w:val="FFFFFF" w:themeColor="background1"/>
              </w:rPr>
              <w:lastRenderedPageBreak/>
              <w:t>Article Purpose</w:t>
            </w:r>
          </w:p>
        </w:tc>
      </w:tr>
      <w:tr w:rsidR="003D7C2E" w:rsidRPr="008926A5" w14:paraId="08617833" w14:textId="77777777" w:rsidTr="000F4E6E">
        <w:trPr>
          <w:trHeight w:val="1459"/>
        </w:trPr>
        <w:tc>
          <w:tcPr>
            <w:tcW w:w="11347" w:type="dxa"/>
          </w:tcPr>
          <w:p w14:paraId="2ADD570E" w14:textId="121A8C3C" w:rsidR="003D7C2E" w:rsidRPr="000F4E6E" w:rsidRDefault="00047D28" w:rsidP="007E750E">
            <w:pPr>
              <w:contextualSpacing/>
              <w:rPr>
                <w:rFonts w:asciiTheme="minorHAnsi" w:hAnsiTheme="minorHAnsi" w:cstheme="minorHAnsi"/>
              </w:rPr>
            </w:pPr>
            <w:r>
              <w:t>The purpose of this article is to present a multi-pronged framework for supporting autistic individuals as they prepare for and participate in postsecondary education. The authors synthesize existing research to outline how high schools can improve transition planning, how colleges can strengthen support systems, and how autistic individuals can develop self-advocacy skills. The overall goal is to improve access, persistence, and success for autistic students in higher education through coordinated efforts across systems.</w:t>
            </w:r>
          </w:p>
        </w:tc>
      </w:tr>
      <w:tr w:rsidR="003D7C2E" w:rsidRPr="008926A5" w14:paraId="10DA4E6E" w14:textId="77777777" w:rsidTr="000F4E6E">
        <w:tc>
          <w:tcPr>
            <w:tcW w:w="11347" w:type="dxa"/>
            <w:shd w:val="clear" w:color="auto" w:fill="2E74B5" w:themeFill="accent1" w:themeFillShade="BF"/>
          </w:tcPr>
          <w:p w14:paraId="094400AB" w14:textId="68418277"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b/>
                <w:bCs/>
                <w:i/>
                <w:iCs/>
                <w:color w:val="FFFFFF" w:themeColor="background1"/>
                <w:sz w:val="24"/>
                <w:szCs w:val="24"/>
              </w:rPr>
              <w:t>How might you apply the results in your setting?</w:t>
            </w:r>
          </w:p>
        </w:tc>
      </w:tr>
      <w:tr w:rsidR="003D7C2E" w:rsidRPr="008926A5" w14:paraId="6B49C798" w14:textId="77777777" w:rsidTr="000F4E6E">
        <w:tc>
          <w:tcPr>
            <w:tcW w:w="11347" w:type="dxa"/>
          </w:tcPr>
          <w:p w14:paraId="3CFF7944" w14:textId="73635AC9" w:rsidR="00047D28" w:rsidRPr="00451BCB" w:rsidRDefault="00047D28" w:rsidP="00047D28">
            <w:pPr>
              <w:pStyle w:val="ListParagraph"/>
              <w:numPr>
                <w:ilvl w:val="0"/>
                <w:numId w:val="18"/>
              </w:numPr>
              <w:spacing w:before="100" w:beforeAutospacing="1" w:after="100" w:afterAutospacing="1"/>
            </w:pPr>
            <w:r w:rsidRPr="00451BCB">
              <w:t>Autistic students attend college at increasing rates, but graduation rates remain low (~39%).</w:t>
            </w:r>
            <w:r w:rsidR="00681077">
              <w:t xml:space="preserve"> </w:t>
            </w:r>
            <w:r w:rsidRPr="00451BCB">
              <w:t xml:space="preserve">This highlights a gap between access and success, reinforcing the need for stronger transition planning and ongoing supports. </w:t>
            </w:r>
          </w:p>
          <w:p w14:paraId="1CC74111" w14:textId="77777777" w:rsidR="00047D28" w:rsidRPr="00451BCB" w:rsidRDefault="00047D28" w:rsidP="00047D28">
            <w:pPr>
              <w:pStyle w:val="ListParagraph"/>
              <w:spacing w:before="100" w:beforeAutospacing="1" w:after="100" w:afterAutospacing="1"/>
            </w:pPr>
          </w:p>
          <w:p w14:paraId="2FDC0371" w14:textId="74D976F9" w:rsidR="00047D28" w:rsidRPr="00451BCB" w:rsidRDefault="00047D28" w:rsidP="00047D28">
            <w:pPr>
              <w:pStyle w:val="ListParagraph"/>
              <w:numPr>
                <w:ilvl w:val="0"/>
                <w:numId w:val="18"/>
              </w:numPr>
              <w:spacing w:before="100" w:beforeAutospacing="1" w:after="100" w:afterAutospacing="1"/>
            </w:pPr>
            <w:r w:rsidRPr="00451BCB">
              <w:t>Attrition is often linked to ASD-specific challenges.</w:t>
            </w:r>
            <w:r w:rsidR="00681077">
              <w:t xml:space="preserve"> </w:t>
            </w:r>
            <w:r w:rsidRPr="00451BCB">
              <w:t xml:space="preserve">Factors such as executive functioning, social navigation, and sensory needs can directly impact persistence in higher education. </w:t>
            </w:r>
          </w:p>
          <w:p w14:paraId="7D8C3A7C" w14:textId="77777777" w:rsidR="00047D28" w:rsidRPr="00451BCB" w:rsidRDefault="00047D28" w:rsidP="00047D28">
            <w:pPr>
              <w:pStyle w:val="ListParagraph"/>
              <w:spacing w:before="100" w:beforeAutospacing="1" w:after="100" w:afterAutospacing="1"/>
            </w:pPr>
          </w:p>
          <w:p w14:paraId="267CC272" w14:textId="490EFC3B" w:rsidR="00047D28" w:rsidRPr="00451BCB" w:rsidRDefault="00047D28" w:rsidP="00047D28">
            <w:pPr>
              <w:pStyle w:val="ListParagraph"/>
              <w:numPr>
                <w:ilvl w:val="0"/>
                <w:numId w:val="18"/>
              </w:numPr>
              <w:spacing w:before="100" w:beforeAutospacing="1" w:after="100" w:afterAutospacing="1"/>
            </w:pPr>
            <w:r w:rsidRPr="00451BCB">
              <w:t>Early and intentional transition planning improves postsecondary outcomes.</w:t>
            </w:r>
            <w:r w:rsidR="00681077">
              <w:t xml:space="preserve"> </w:t>
            </w:r>
            <w:r w:rsidRPr="00451BCB">
              <w:t xml:space="preserve">High schools should begin planning early, including campus visits, skill development, and coordination with future support systems. </w:t>
            </w:r>
          </w:p>
          <w:p w14:paraId="58903A8B" w14:textId="77777777" w:rsidR="00047D28" w:rsidRPr="00451BCB" w:rsidRDefault="00047D28" w:rsidP="00047D28">
            <w:pPr>
              <w:pStyle w:val="ListParagraph"/>
              <w:spacing w:before="100" w:beforeAutospacing="1" w:after="100" w:afterAutospacing="1"/>
            </w:pPr>
          </w:p>
          <w:p w14:paraId="1B3C5254" w14:textId="1ACC5B14" w:rsidR="00047D28" w:rsidRPr="00451BCB" w:rsidRDefault="00047D28" w:rsidP="00047D28">
            <w:pPr>
              <w:pStyle w:val="ListParagraph"/>
              <w:numPr>
                <w:ilvl w:val="0"/>
                <w:numId w:val="18"/>
              </w:numPr>
              <w:spacing w:before="100" w:beforeAutospacing="1" w:after="100" w:afterAutospacing="1"/>
            </w:pPr>
            <w:r w:rsidRPr="00451BCB">
              <w:t>Self-advocacy and safety skills are critical for student success.</w:t>
            </w:r>
            <w:r w:rsidR="00681077">
              <w:t xml:space="preserve"> </w:t>
            </w:r>
            <w:r w:rsidRPr="00451BCB">
              <w:t xml:space="preserve">Teaching students how to understand and communicate their needs supports independence and confidence in navigating college environments. </w:t>
            </w:r>
          </w:p>
          <w:p w14:paraId="52082D49" w14:textId="77777777" w:rsidR="00047D28" w:rsidRPr="00451BCB" w:rsidRDefault="00047D28" w:rsidP="00047D28">
            <w:pPr>
              <w:pStyle w:val="ListParagraph"/>
              <w:spacing w:before="100" w:beforeAutospacing="1" w:after="100" w:afterAutospacing="1"/>
            </w:pPr>
          </w:p>
          <w:p w14:paraId="17BA30B8" w14:textId="34C0B415" w:rsidR="000F4E6E" w:rsidRPr="00451BCB" w:rsidRDefault="00047D28" w:rsidP="00681077">
            <w:pPr>
              <w:pStyle w:val="ListParagraph"/>
              <w:numPr>
                <w:ilvl w:val="0"/>
                <w:numId w:val="18"/>
              </w:numPr>
              <w:spacing w:before="100" w:beforeAutospacing="1" w:after="100" w:afterAutospacing="1"/>
            </w:pPr>
            <w:r w:rsidRPr="00451BCB">
              <w:t>Colleges must provide training and inclusive supports for staff, faculty, and peers.</w:t>
            </w:r>
            <w:r w:rsidR="00681077">
              <w:t xml:space="preserve"> </w:t>
            </w:r>
            <w:r w:rsidRPr="00451BCB">
              <w:t>Creating a supportive environment requires system-wide understanding of ASD and consistent implementation of accommodations and inclusive practices.</w:t>
            </w:r>
          </w:p>
          <w:p w14:paraId="64249A8C" w14:textId="77777777" w:rsidR="003D7C2E" w:rsidRPr="008926A5" w:rsidRDefault="003D7C2E" w:rsidP="007E750E">
            <w:pPr>
              <w:contextualSpacing/>
              <w:rPr>
                <w:rFonts w:asciiTheme="majorHAnsi" w:hAnsiTheme="majorHAnsi" w:cstheme="majorHAnsi"/>
                <w:sz w:val="24"/>
                <w:szCs w:val="24"/>
              </w:rPr>
            </w:pPr>
          </w:p>
        </w:tc>
      </w:tr>
      <w:tr w:rsidR="003D7C2E" w:rsidRPr="008926A5" w14:paraId="1505AFED" w14:textId="77777777" w:rsidTr="000F4E6E">
        <w:tc>
          <w:tcPr>
            <w:tcW w:w="11347" w:type="dxa"/>
            <w:shd w:val="clear" w:color="auto" w:fill="1F4E79" w:themeFill="accent1" w:themeFillShade="80"/>
          </w:tcPr>
          <w:p w14:paraId="6F867A10" w14:textId="343A9CCA"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FOUR</w:t>
            </w:r>
          </w:p>
        </w:tc>
      </w:tr>
      <w:tr w:rsidR="003D7C2E" w:rsidRPr="008926A5" w14:paraId="1C6D87AC" w14:textId="77777777" w:rsidTr="000F4E6E">
        <w:tc>
          <w:tcPr>
            <w:tcW w:w="11347" w:type="dxa"/>
            <w:shd w:val="clear" w:color="auto" w:fill="2E74B5" w:themeFill="accent1" w:themeFillShade="BF"/>
          </w:tcPr>
          <w:p w14:paraId="69772FB1" w14:textId="1A062CF9"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49E72DD" w14:textId="77777777" w:rsidTr="000F4E6E">
        <w:tc>
          <w:tcPr>
            <w:tcW w:w="11347" w:type="dxa"/>
          </w:tcPr>
          <w:p w14:paraId="05A1BCA8" w14:textId="77777777" w:rsidR="00830FD3" w:rsidRDefault="00830FD3" w:rsidP="007E750E">
            <w:pPr>
              <w:contextualSpacing/>
            </w:pPr>
            <w:r>
              <w:t xml:space="preserve">Huber, H. B., &amp; Carter, E. W. (2023). Impact and individualization of peer support arrangements for high school </w:t>
            </w:r>
          </w:p>
          <w:p w14:paraId="2C3F27AE" w14:textId="77777777" w:rsidR="00830FD3" w:rsidRDefault="00830FD3" w:rsidP="007E750E">
            <w:pPr>
              <w:contextualSpacing/>
            </w:pPr>
          </w:p>
          <w:p w14:paraId="18FEDE2F" w14:textId="46775C2E" w:rsidR="003D7C2E" w:rsidRPr="008926A5" w:rsidRDefault="00830FD3" w:rsidP="007E750E">
            <w:pPr>
              <w:contextualSpacing/>
              <w:rPr>
                <w:rFonts w:asciiTheme="majorHAnsi" w:hAnsiTheme="majorHAnsi" w:cstheme="majorHAnsi"/>
                <w:sz w:val="24"/>
                <w:szCs w:val="24"/>
              </w:rPr>
            </w:pPr>
            <w:r>
              <w:t xml:space="preserve">     students with autism using structural analysis. </w:t>
            </w:r>
            <w:r>
              <w:rPr>
                <w:rStyle w:val="Emphasis"/>
              </w:rPr>
              <w:t>Inclusion, 11</w:t>
            </w:r>
            <w:r>
              <w:t xml:space="preserve">(1), 1–22. </w:t>
            </w:r>
            <w:hyperlink r:id="rId12" w:tgtFrame="_new" w:history="1">
              <w:r>
                <w:rPr>
                  <w:rStyle w:val="Hyperlink"/>
                </w:rPr>
                <w:t>https://doi.org/10.1352/2326-6988-11.1.1</w:t>
              </w:r>
            </w:hyperlink>
          </w:p>
        </w:tc>
      </w:tr>
      <w:tr w:rsidR="003D7C2E" w:rsidRPr="008926A5" w14:paraId="1DFA3116" w14:textId="77777777" w:rsidTr="000F4E6E">
        <w:tc>
          <w:tcPr>
            <w:tcW w:w="11347" w:type="dxa"/>
            <w:shd w:val="clear" w:color="auto" w:fill="2E74B5" w:themeFill="accent1" w:themeFillShade="BF"/>
          </w:tcPr>
          <w:p w14:paraId="732999B2" w14:textId="3DDC9A8F"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2D003169" w14:textId="77777777" w:rsidTr="000F4E6E">
        <w:tc>
          <w:tcPr>
            <w:tcW w:w="11347" w:type="dxa"/>
          </w:tcPr>
          <w:p w14:paraId="1EFB628B" w14:textId="3779DD27" w:rsidR="003D7C2E" w:rsidRPr="00047D28" w:rsidRDefault="00047D28" w:rsidP="007E750E">
            <w:pPr>
              <w:contextualSpacing/>
              <w:rPr>
                <w:rFonts w:asciiTheme="majorHAnsi" w:hAnsiTheme="majorHAnsi" w:cstheme="majorHAnsi"/>
              </w:rPr>
            </w:pPr>
            <w:r w:rsidRPr="00047D28">
              <w:rPr>
                <w:rFonts w:asciiTheme="majorHAnsi" w:hAnsiTheme="majorHAnsi" w:cstheme="majorHAnsi"/>
              </w:rPr>
              <w:t>https://kuprimo.hosted.exlibrisgroup.com/permalink/f/1ik10ij/TN_cdi_crossref_primary_10_1352_2326_6988_11_1_1</w:t>
            </w:r>
          </w:p>
        </w:tc>
      </w:tr>
      <w:tr w:rsidR="003D7C2E" w:rsidRPr="008926A5" w14:paraId="255BF74F" w14:textId="77777777" w:rsidTr="000F4E6E">
        <w:tc>
          <w:tcPr>
            <w:tcW w:w="11347" w:type="dxa"/>
            <w:shd w:val="clear" w:color="auto" w:fill="2E74B5" w:themeFill="accent1" w:themeFillShade="BF"/>
          </w:tcPr>
          <w:p w14:paraId="367443DB" w14:textId="64F2B653"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CCC9995" w14:textId="77777777" w:rsidTr="000F4E6E">
        <w:tc>
          <w:tcPr>
            <w:tcW w:w="11347" w:type="dxa"/>
          </w:tcPr>
          <w:p w14:paraId="4BA63CED" w14:textId="77777777" w:rsidR="003D7C2E" w:rsidRDefault="00047D28" w:rsidP="007E750E">
            <w:pPr>
              <w:contextualSpacing/>
              <w:rPr>
                <w:rFonts w:asciiTheme="majorHAnsi" w:hAnsiTheme="majorHAnsi" w:cstheme="majorHAnsi"/>
              </w:rPr>
            </w:pPr>
            <w:r w:rsidRPr="00047D28">
              <w:rPr>
                <w:rFonts w:asciiTheme="majorHAnsi" w:hAnsiTheme="majorHAnsi" w:cstheme="majorHAnsi"/>
              </w:rPr>
              <w:lastRenderedPageBreak/>
              <w:t>Domain 8.4 Provide structure, ongoing training, &amp; support to others</w:t>
            </w:r>
          </w:p>
          <w:p w14:paraId="203C8525" w14:textId="5D12E2A8" w:rsidR="00047D28" w:rsidRPr="00047D28" w:rsidRDefault="00047D28" w:rsidP="007E750E">
            <w:pPr>
              <w:contextualSpacing/>
              <w:rPr>
                <w:rFonts w:asciiTheme="majorHAnsi" w:hAnsiTheme="majorHAnsi" w:cstheme="majorHAnsi"/>
              </w:rPr>
            </w:pPr>
          </w:p>
        </w:tc>
      </w:tr>
      <w:tr w:rsidR="003D7C2E" w:rsidRPr="008926A5" w14:paraId="28020299" w14:textId="77777777" w:rsidTr="000F4E6E">
        <w:tc>
          <w:tcPr>
            <w:tcW w:w="11347" w:type="dxa"/>
            <w:shd w:val="clear" w:color="auto" w:fill="2E74B5" w:themeFill="accent1" w:themeFillShade="BF"/>
          </w:tcPr>
          <w:p w14:paraId="5FB46E8D" w14:textId="75A923F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67CC070" w14:textId="77777777" w:rsidTr="000F4E6E">
        <w:tc>
          <w:tcPr>
            <w:tcW w:w="11347" w:type="dxa"/>
          </w:tcPr>
          <w:p w14:paraId="2ED50EB9" w14:textId="77777777" w:rsidR="003D7C2E" w:rsidRDefault="00047D28" w:rsidP="007E750E">
            <w:pPr>
              <w:contextualSpacing/>
            </w:pPr>
            <w:r>
              <w:t>This article connects to Domain 8.4 because it highlights the importance of structured, intentional systems of support that include peers, educators, and ongoing assessment to promote successful inclusion for students with autism spectrum disorder (ASD). In my role, this reinforces that effective inclusion is not automatic—it requires clear structures, training, and continuous adjustment based on student needs. The use of peer support arrangements also emphasizes how school staff must be prepared to guide and maintain these systems so that they remain meaningful and effective in general education settings.</w:t>
            </w:r>
          </w:p>
          <w:p w14:paraId="25A06CDA" w14:textId="01EB3D5D" w:rsidR="00830FD3" w:rsidRPr="008926A5" w:rsidRDefault="00830FD3" w:rsidP="007E750E">
            <w:pPr>
              <w:contextualSpacing/>
              <w:rPr>
                <w:rFonts w:asciiTheme="majorHAnsi" w:hAnsiTheme="majorHAnsi" w:cstheme="majorHAnsi"/>
                <w:sz w:val="24"/>
                <w:szCs w:val="24"/>
              </w:rPr>
            </w:pPr>
          </w:p>
        </w:tc>
      </w:tr>
      <w:tr w:rsidR="003D7C2E" w:rsidRPr="008926A5" w14:paraId="29748728" w14:textId="77777777" w:rsidTr="000F4E6E">
        <w:tc>
          <w:tcPr>
            <w:tcW w:w="11347" w:type="dxa"/>
            <w:shd w:val="clear" w:color="auto" w:fill="2E74B5" w:themeFill="accent1" w:themeFillShade="BF"/>
          </w:tcPr>
          <w:p w14:paraId="58CF72D0" w14:textId="3B8E0AB4"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57E0310A" w14:textId="77777777" w:rsidTr="000F4E6E">
        <w:tc>
          <w:tcPr>
            <w:tcW w:w="11347" w:type="dxa"/>
          </w:tcPr>
          <w:p w14:paraId="48DF369E" w14:textId="77777777" w:rsidR="003D7C2E" w:rsidRDefault="00047D28" w:rsidP="007E750E">
            <w:pPr>
              <w:contextualSpacing/>
            </w:pPr>
            <w:r>
              <w:t>The purpose of this study was to examine the effectiveness and social validity of peer support arrangements in improving both social interaction and academic engagement for high school students with ASD in general education classrooms. The study also explored how structural analysis could be used to further individualize and refine these supports to better meet the needs of students with and without intellectual disabilities.</w:t>
            </w:r>
          </w:p>
          <w:p w14:paraId="06892F17" w14:textId="6B074F05" w:rsidR="00830FD3" w:rsidRPr="008926A5" w:rsidRDefault="00830FD3" w:rsidP="007E750E">
            <w:pPr>
              <w:contextualSpacing/>
              <w:rPr>
                <w:rFonts w:asciiTheme="majorHAnsi" w:hAnsiTheme="majorHAnsi" w:cstheme="majorHAnsi"/>
                <w:sz w:val="24"/>
                <w:szCs w:val="24"/>
              </w:rPr>
            </w:pPr>
          </w:p>
        </w:tc>
      </w:tr>
      <w:tr w:rsidR="003D7C2E" w:rsidRPr="008926A5" w14:paraId="36832AAC" w14:textId="77777777" w:rsidTr="000F4E6E">
        <w:tc>
          <w:tcPr>
            <w:tcW w:w="11347" w:type="dxa"/>
            <w:shd w:val="clear" w:color="auto" w:fill="2E74B5" w:themeFill="accent1" w:themeFillShade="BF"/>
          </w:tcPr>
          <w:p w14:paraId="2226687C" w14:textId="636E6D9D"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Five Key Findings Related to Your Practice –</w:t>
            </w:r>
            <w:r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312094FC" w14:textId="77777777" w:rsidTr="000F4E6E">
        <w:tc>
          <w:tcPr>
            <w:tcW w:w="11347" w:type="dxa"/>
          </w:tcPr>
          <w:p w14:paraId="7E98816B" w14:textId="77777777" w:rsidR="00830FD3" w:rsidRPr="00830FD3" w:rsidRDefault="00830FD3" w:rsidP="00830FD3">
            <w:pPr>
              <w:ind w:left="720"/>
              <w:contextualSpacing/>
              <w:rPr>
                <w:rStyle w:val="Strong"/>
                <w:rFonts w:ascii="Times New Roman" w:hAnsi="Times New Roman" w:cs="Times New Roman"/>
                <w:b w:val="0"/>
                <w:bCs w:val="0"/>
              </w:rPr>
            </w:pPr>
          </w:p>
          <w:p w14:paraId="18656992" w14:textId="4D1097B8" w:rsidR="00047D28" w:rsidRPr="00451BCB" w:rsidRDefault="00047D28" w:rsidP="00047D28">
            <w:pPr>
              <w:numPr>
                <w:ilvl w:val="0"/>
                <w:numId w:val="20"/>
              </w:numPr>
              <w:contextualSpacing/>
              <w:rPr>
                <w:rFonts w:ascii="Times New Roman" w:hAnsi="Times New Roman" w:cs="Times New Roman"/>
              </w:rPr>
            </w:pPr>
            <w:r w:rsidRPr="00451BCB">
              <w:rPr>
                <w:rStyle w:val="Strong"/>
                <w:b w:val="0"/>
                <w:bCs w:val="0"/>
              </w:rPr>
              <w:t>Peer support arrangements increased social interaction and academic engagement.</w:t>
            </w:r>
            <w:r w:rsidR="00681077">
              <w:rPr>
                <w:rStyle w:val="Strong"/>
                <w:b w:val="0"/>
                <w:bCs w:val="0"/>
              </w:rPr>
              <w:t xml:space="preserve"> </w:t>
            </w:r>
            <w:r w:rsidRPr="00451BCB">
              <w:t xml:space="preserve">This shows that structured peer systems can meaningfully improve both academic and social outcomes for students with ASD in inclusive settings. </w:t>
            </w:r>
          </w:p>
          <w:p w14:paraId="0E280C38" w14:textId="77777777" w:rsidR="00047D28" w:rsidRPr="00451BCB" w:rsidRDefault="00047D28" w:rsidP="00047D28">
            <w:pPr>
              <w:ind w:left="720"/>
              <w:contextualSpacing/>
              <w:rPr>
                <w:rFonts w:ascii="Times New Roman" w:hAnsi="Times New Roman" w:cs="Times New Roman"/>
              </w:rPr>
            </w:pPr>
          </w:p>
          <w:p w14:paraId="058FB21A" w14:textId="66A4509C" w:rsidR="00047D28" w:rsidRPr="00451BCB" w:rsidRDefault="00047D28" w:rsidP="00047D28">
            <w:pPr>
              <w:numPr>
                <w:ilvl w:val="0"/>
                <w:numId w:val="20"/>
              </w:numPr>
              <w:contextualSpacing/>
            </w:pPr>
            <w:r w:rsidRPr="00451BCB">
              <w:rPr>
                <w:rStyle w:val="Strong"/>
                <w:b w:val="0"/>
                <w:bCs w:val="0"/>
              </w:rPr>
              <w:t>All three students showed positive outcomes with peer support interventions.</w:t>
            </w:r>
            <w:r w:rsidR="00681077">
              <w:rPr>
                <w:rStyle w:val="Strong"/>
                <w:b w:val="0"/>
                <w:bCs w:val="0"/>
              </w:rPr>
              <w:t xml:space="preserve"> </w:t>
            </w:r>
            <w:r w:rsidRPr="00451BCB">
              <w:t xml:space="preserve">This suggests that peer-mediated strategies can be effective across a range of student needs and profiles. </w:t>
            </w:r>
          </w:p>
          <w:p w14:paraId="365EE785" w14:textId="77777777" w:rsidR="00047D28" w:rsidRPr="00451BCB" w:rsidRDefault="00047D28" w:rsidP="00047D28">
            <w:pPr>
              <w:contextualSpacing/>
            </w:pPr>
          </w:p>
          <w:p w14:paraId="74B03B6D" w14:textId="72288505" w:rsidR="00047D28" w:rsidRPr="00451BCB" w:rsidRDefault="00047D28" w:rsidP="00047D28">
            <w:pPr>
              <w:numPr>
                <w:ilvl w:val="0"/>
                <w:numId w:val="20"/>
              </w:numPr>
              <w:contextualSpacing/>
            </w:pPr>
            <w:r w:rsidRPr="00451BCB">
              <w:rPr>
                <w:rStyle w:val="Strong"/>
                <w:b w:val="0"/>
                <w:bCs w:val="0"/>
              </w:rPr>
              <w:t>Peer support helped students access the general education environment more successfully.</w:t>
            </w:r>
            <w:r w:rsidR="00681077">
              <w:rPr>
                <w:rStyle w:val="Strong"/>
                <w:b w:val="0"/>
                <w:bCs w:val="0"/>
              </w:rPr>
              <w:t xml:space="preserve"> </w:t>
            </w:r>
            <w:r w:rsidRPr="00451BCB">
              <w:t xml:space="preserve">This reinforces the value of intentional structures that support inclusion rather than relying on natural supports alone. </w:t>
            </w:r>
          </w:p>
          <w:p w14:paraId="4A5DE45B" w14:textId="77777777" w:rsidR="00047D28" w:rsidRPr="00451BCB" w:rsidRDefault="00047D28" w:rsidP="00047D28">
            <w:pPr>
              <w:contextualSpacing/>
            </w:pPr>
          </w:p>
          <w:p w14:paraId="07F7DB02" w14:textId="4017E3CA" w:rsidR="00047D28" w:rsidRPr="00451BCB" w:rsidRDefault="00047D28" w:rsidP="00047D28">
            <w:pPr>
              <w:numPr>
                <w:ilvl w:val="0"/>
                <w:numId w:val="20"/>
              </w:numPr>
              <w:contextualSpacing/>
            </w:pPr>
            <w:r w:rsidRPr="00451BCB">
              <w:rPr>
                <w:rStyle w:val="Strong"/>
                <w:b w:val="0"/>
                <w:bCs w:val="0"/>
              </w:rPr>
              <w:t>Structural analysis improved and individualized the interventions.</w:t>
            </w:r>
            <w:r w:rsidR="00681077">
              <w:rPr>
                <w:rStyle w:val="Strong"/>
                <w:b w:val="0"/>
                <w:bCs w:val="0"/>
              </w:rPr>
              <w:t xml:space="preserve"> </w:t>
            </w:r>
            <w:r w:rsidRPr="00451BCB">
              <w:t xml:space="preserve">Ongoing assessment helped refine supports, showing the importance of adjusting strategies based on student response. </w:t>
            </w:r>
          </w:p>
          <w:p w14:paraId="4CACFFBC" w14:textId="77777777" w:rsidR="00047D28" w:rsidRPr="00451BCB" w:rsidRDefault="00047D28" w:rsidP="00047D28">
            <w:pPr>
              <w:contextualSpacing/>
            </w:pPr>
          </w:p>
          <w:p w14:paraId="7BB54D7D" w14:textId="34F3A063" w:rsidR="003D7C2E" w:rsidRDefault="00047D28" w:rsidP="00047D28">
            <w:pPr>
              <w:numPr>
                <w:ilvl w:val="0"/>
                <w:numId w:val="20"/>
              </w:numPr>
              <w:contextualSpacing/>
            </w:pPr>
            <w:r w:rsidRPr="00451BCB">
              <w:rPr>
                <w:rStyle w:val="Strong"/>
                <w:b w:val="0"/>
                <w:bCs w:val="0"/>
              </w:rPr>
              <w:t>Peer support arrangements are a research-based practice for inclusion.</w:t>
            </w:r>
            <w:r w:rsidR="00681077">
              <w:rPr>
                <w:rStyle w:val="Strong"/>
                <w:b w:val="0"/>
                <w:bCs w:val="0"/>
              </w:rPr>
              <w:t xml:space="preserve"> </w:t>
            </w:r>
            <w:r w:rsidRPr="00451BCB">
              <w:t>This supports the use of structured, evidence-based systems that require staff training and</w:t>
            </w:r>
            <w:r>
              <w:t xml:space="preserve"> consistent implementation to maintain effectiveness in real classroom settings. </w:t>
            </w:r>
          </w:p>
          <w:p w14:paraId="756AC1A6" w14:textId="77777777" w:rsidR="00830FD3" w:rsidRDefault="00830FD3" w:rsidP="00830FD3">
            <w:pPr>
              <w:pStyle w:val="ListParagraph"/>
            </w:pPr>
          </w:p>
          <w:p w14:paraId="2564BE9D" w14:textId="77777777" w:rsidR="00830FD3" w:rsidRDefault="00830FD3" w:rsidP="00830FD3">
            <w:pPr>
              <w:ind w:left="720"/>
              <w:contextualSpacing/>
            </w:pPr>
          </w:p>
          <w:p w14:paraId="571F296F" w14:textId="77777777" w:rsidR="00830FD3" w:rsidRDefault="00830FD3" w:rsidP="00830FD3">
            <w:pPr>
              <w:ind w:left="720"/>
              <w:contextualSpacing/>
            </w:pPr>
          </w:p>
          <w:p w14:paraId="2DE7CFED" w14:textId="5B9E6662" w:rsidR="00830FD3" w:rsidRPr="00047D28" w:rsidRDefault="00830FD3" w:rsidP="00830FD3">
            <w:pPr>
              <w:ind w:left="720"/>
              <w:contextualSpacing/>
            </w:pPr>
          </w:p>
        </w:tc>
      </w:tr>
      <w:tr w:rsidR="003D7C2E" w:rsidRPr="008926A5" w14:paraId="617863C7" w14:textId="77777777" w:rsidTr="000F4E6E">
        <w:tc>
          <w:tcPr>
            <w:tcW w:w="11347" w:type="dxa"/>
            <w:shd w:val="clear" w:color="auto" w:fill="1F4E79" w:themeFill="accent1" w:themeFillShade="80"/>
          </w:tcPr>
          <w:p w14:paraId="709A1083" w14:textId="0518C6B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FIVE</w:t>
            </w:r>
          </w:p>
        </w:tc>
      </w:tr>
      <w:tr w:rsidR="003D7C2E" w:rsidRPr="008926A5" w14:paraId="3C0076A6" w14:textId="77777777" w:rsidTr="000F4E6E">
        <w:tc>
          <w:tcPr>
            <w:tcW w:w="11347" w:type="dxa"/>
            <w:shd w:val="clear" w:color="auto" w:fill="2E74B5" w:themeFill="accent1" w:themeFillShade="BF"/>
          </w:tcPr>
          <w:p w14:paraId="196E6AB6" w14:textId="2A9068A1"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759B844" w14:textId="77777777" w:rsidTr="000F4E6E">
        <w:tc>
          <w:tcPr>
            <w:tcW w:w="11347" w:type="dxa"/>
          </w:tcPr>
          <w:p w14:paraId="1843F946" w14:textId="77777777" w:rsidR="00830FD3" w:rsidRDefault="00830FD3" w:rsidP="00830FD3">
            <w:pPr>
              <w:contextualSpacing/>
            </w:pPr>
            <w:r w:rsidRPr="00830FD3">
              <w:lastRenderedPageBreak/>
              <w:t xml:space="preserve">Lee, G. K., Curtiss, S. L., Kuo, H. J., Chun, J., Lee, H., &amp; Nimako, D. D. (2022). The role of acceptance in the </w:t>
            </w:r>
          </w:p>
          <w:p w14:paraId="6A3CA0EE" w14:textId="77777777" w:rsidR="00830FD3" w:rsidRDefault="00830FD3" w:rsidP="00830FD3">
            <w:pPr>
              <w:contextualSpacing/>
            </w:pPr>
          </w:p>
          <w:p w14:paraId="3D5FEBC0" w14:textId="56D52631" w:rsidR="00830FD3" w:rsidRDefault="00830FD3" w:rsidP="00830FD3">
            <w:pPr>
              <w:contextualSpacing/>
              <w:rPr>
                <w:i/>
                <w:iCs/>
              </w:rPr>
            </w:pPr>
            <w:r>
              <w:t xml:space="preserve">     </w:t>
            </w:r>
            <w:r w:rsidRPr="00830FD3">
              <w:t xml:space="preserve">transition to adulthood: A multi-informant comparison of practitioners, families, and youth with autism. </w:t>
            </w:r>
            <w:r w:rsidRPr="00830FD3">
              <w:rPr>
                <w:i/>
                <w:iCs/>
              </w:rPr>
              <w:t xml:space="preserve">Journal of </w:t>
            </w:r>
          </w:p>
          <w:p w14:paraId="7943BFB6" w14:textId="77777777" w:rsidR="00830FD3" w:rsidRDefault="00830FD3" w:rsidP="00830FD3">
            <w:pPr>
              <w:contextualSpacing/>
              <w:rPr>
                <w:i/>
                <w:iCs/>
              </w:rPr>
            </w:pPr>
          </w:p>
          <w:p w14:paraId="4238E6A7" w14:textId="2029650B" w:rsidR="00830FD3" w:rsidRPr="00830FD3" w:rsidRDefault="00830FD3" w:rsidP="00830FD3">
            <w:pPr>
              <w:contextualSpacing/>
            </w:pPr>
            <w:r>
              <w:rPr>
                <w:i/>
                <w:iCs/>
              </w:rPr>
              <w:t xml:space="preserve">     </w:t>
            </w:r>
            <w:r w:rsidRPr="00830FD3">
              <w:rPr>
                <w:i/>
                <w:iCs/>
              </w:rPr>
              <w:t>Autism and Developmental Disorders, 52</w:t>
            </w:r>
            <w:r w:rsidRPr="00830FD3">
              <w:t xml:space="preserve">(4), 1444–1457. </w:t>
            </w:r>
            <w:hyperlink r:id="rId13" w:tgtFrame="_new" w:history="1">
              <w:r w:rsidRPr="00830FD3">
                <w:rPr>
                  <w:rStyle w:val="Hyperlink"/>
                </w:rPr>
                <w:t>https://doi.org/10.1007/s10803-021-05037-1</w:t>
              </w:r>
            </w:hyperlink>
          </w:p>
          <w:p w14:paraId="0DB58270" w14:textId="77777777" w:rsidR="00EF062A" w:rsidRPr="008926A5" w:rsidRDefault="00EF062A" w:rsidP="007E750E">
            <w:pPr>
              <w:contextualSpacing/>
              <w:rPr>
                <w:rFonts w:asciiTheme="majorHAnsi" w:hAnsiTheme="majorHAnsi" w:cstheme="majorHAnsi"/>
                <w:sz w:val="24"/>
                <w:szCs w:val="24"/>
              </w:rPr>
            </w:pPr>
          </w:p>
        </w:tc>
      </w:tr>
      <w:tr w:rsidR="003D7C2E" w:rsidRPr="008926A5" w14:paraId="0A35601A" w14:textId="77777777" w:rsidTr="000F4E6E">
        <w:tc>
          <w:tcPr>
            <w:tcW w:w="11347" w:type="dxa"/>
            <w:shd w:val="clear" w:color="auto" w:fill="2E74B5" w:themeFill="accent1" w:themeFillShade="BF"/>
          </w:tcPr>
          <w:p w14:paraId="21CB2ACB" w14:textId="010AA928"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9AEF6AC" w14:textId="77777777" w:rsidTr="000F4E6E">
        <w:tc>
          <w:tcPr>
            <w:tcW w:w="11347" w:type="dxa"/>
          </w:tcPr>
          <w:p w14:paraId="41503299" w14:textId="2741323D" w:rsidR="003D7C2E" w:rsidRPr="00EF062A" w:rsidRDefault="00EF062A" w:rsidP="007E750E">
            <w:pPr>
              <w:contextualSpacing/>
              <w:rPr>
                <w:rFonts w:asciiTheme="majorHAnsi" w:hAnsiTheme="majorHAnsi" w:cstheme="majorHAnsi"/>
              </w:rPr>
            </w:pPr>
            <w:hyperlink r:id="rId14" w:history="1">
              <w:r w:rsidRPr="00EF062A">
                <w:rPr>
                  <w:rStyle w:val="Hyperlink"/>
                  <w:rFonts w:asciiTheme="majorHAnsi" w:hAnsiTheme="majorHAnsi" w:cstheme="majorHAnsi"/>
                </w:rPr>
                <w:t>https://kuprimo.hosted.exlibrisgroup.com/permalink/f/1ik10ij/TN_cdi_gale_infotracmisc_A697819089</w:t>
              </w:r>
            </w:hyperlink>
          </w:p>
          <w:p w14:paraId="72EBC344" w14:textId="6A481989" w:rsidR="00EF062A" w:rsidRPr="008926A5" w:rsidRDefault="00EF062A" w:rsidP="007E750E">
            <w:pPr>
              <w:contextualSpacing/>
              <w:rPr>
                <w:rFonts w:asciiTheme="majorHAnsi" w:hAnsiTheme="majorHAnsi" w:cstheme="majorHAnsi"/>
                <w:sz w:val="24"/>
                <w:szCs w:val="24"/>
              </w:rPr>
            </w:pPr>
          </w:p>
        </w:tc>
      </w:tr>
      <w:tr w:rsidR="003D7C2E" w:rsidRPr="008926A5" w14:paraId="30B3FE63" w14:textId="77777777" w:rsidTr="000F4E6E">
        <w:tc>
          <w:tcPr>
            <w:tcW w:w="11347" w:type="dxa"/>
            <w:shd w:val="clear" w:color="auto" w:fill="2E74B5" w:themeFill="accent1" w:themeFillShade="BF"/>
          </w:tcPr>
          <w:p w14:paraId="53EFC70C" w14:textId="11080DA5"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3A0ED48" w14:textId="77777777" w:rsidTr="000F4E6E">
        <w:tc>
          <w:tcPr>
            <w:tcW w:w="11347" w:type="dxa"/>
          </w:tcPr>
          <w:p w14:paraId="30A561AD" w14:textId="351F9D14" w:rsidR="003D7C2E" w:rsidRPr="00EF062A" w:rsidRDefault="00EF062A" w:rsidP="007E750E">
            <w:pPr>
              <w:contextualSpacing/>
              <w:rPr>
                <w:rFonts w:asciiTheme="majorHAnsi" w:hAnsiTheme="majorHAnsi" w:cstheme="majorHAnsi"/>
              </w:rPr>
            </w:pPr>
            <w:r w:rsidRPr="00EF062A">
              <w:rPr>
                <w:rFonts w:asciiTheme="majorHAnsi" w:hAnsiTheme="majorHAnsi" w:cstheme="majorHAnsi"/>
              </w:rPr>
              <w:t>Domain 8.6 Act as a positive role model for acceptance, treatment, &amp; interaction</w:t>
            </w:r>
          </w:p>
        </w:tc>
      </w:tr>
      <w:tr w:rsidR="003D7C2E" w:rsidRPr="008926A5" w14:paraId="33222169" w14:textId="77777777" w:rsidTr="000F4E6E">
        <w:tc>
          <w:tcPr>
            <w:tcW w:w="11347" w:type="dxa"/>
            <w:shd w:val="clear" w:color="auto" w:fill="2E74B5" w:themeFill="accent1" w:themeFillShade="BF"/>
          </w:tcPr>
          <w:p w14:paraId="430BB4C1" w14:textId="61A6D53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2BEF641" w14:textId="77777777" w:rsidTr="000F4E6E">
        <w:tc>
          <w:tcPr>
            <w:tcW w:w="11347" w:type="dxa"/>
          </w:tcPr>
          <w:p w14:paraId="2A5179EB" w14:textId="25DEAB1E" w:rsidR="003D7C2E" w:rsidRPr="008926A5" w:rsidRDefault="00EF062A" w:rsidP="007E750E">
            <w:pPr>
              <w:contextualSpacing/>
              <w:rPr>
                <w:rFonts w:asciiTheme="majorHAnsi" w:hAnsiTheme="majorHAnsi" w:cstheme="majorHAnsi"/>
                <w:sz w:val="24"/>
                <w:szCs w:val="24"/>
              </w:rPr>
            </w:pPr>
            <w:r>
              <w:t>This article connects to Domain 8.6 because it emphasizes the importance of acceptance—both self-acceptance and community acceptance—in shaping the experiences and outcomes of autistic individuals during transition into adulthood. In my role, this reinforces the responsibility to model respectful, affirming, and strengths-based interactions with students with ASD, while also encouraging others (staff, families, and peers) to do the same. The findings highlight that acceptance is not just a mindset, but something that directly impacts well-being, advocacy, and access to support during critical life transitions.</w:t>
            </w:r>
          </w:p>
        </w:tc>
      </w:tr>
      <w:tr w:rsidR="003D7C2E" w:rsidRPr="008926A5" w14:paraId="58C5CF77" w14:textId="77777777" w:rsidTr="000F4E6E">
        <w:tc>
          <w:tcPr>
            <w:tcW w:w="11347" w:type="dxa"/>
            <w:shd w:val="clear" w:color="auto" w:fill="2E74B5" w:themeFill="accent1" w:themeFillShade="BF"/>
          </w:tcPr>
          <w:p w14:paraId="051A3091" w14:textId="5DCA39B8" w:rsidR="003D7C2E" w:rsidRPr="008926A5" w:rsidRDefault="00FA084D" w:rsidP="007E750E">
            <w:pPr>
              <w:contextualSpacing/>
              <w:rPr>
                <w:rFonts w:asciiTheme="majorHAnsi" w:hAnsiTheme="majorHAnsi" w:cstheme="majorHAnsi"/>
                <w:b/>
                <w:sz w:val="24"/>
                <w:szCs w:val="24"/>
              </w:rPr>
            </w:pPr>
            <w:r w:rsidRPr="008926A5">
              <w:rPr>
                <w:rFonts w:asciiTheme="majorHAnsi" w:hAnsiTheme="majorHAnsi" w:cstheme="majorHAnsi"/>
                <w:b/>
                <w:color w:val="FFFFFF" w:themeColor="background1"/>
                <w:sz w:val="24"/>
                <w:szCs w:val="24"/>
              </w:rPr>
              <w:t>Article Purpose</w:t>
            </w:r>
          </w:p>
        </w:tc>
      </w:tr>
      <w:tr w:rsidR="003D7C2E" w:rsidRPr="008926A5" w14:paraId="0F50A29F" w14:textId="77777777" w:rsidTr="000F4E6E">
        <w:tc>
          <w:tcPr>
            <w:tcW w:w="11347" w:type="dxa"/>
          </w:tcPr>
          <w:p w14:paraId="3262B1ED" w14:textId="3BF09F23" w:rsidR="003D7C2E" w:rsidRPr="00EF062A" w:rsidRDefault="00EF062A" w:rsidP="007E750E">
            <w:pPr>
              <w:contextualSpacing/>
              <w:rPr>
                <w:rFonts w:asciiTheme="majorHAnsi" w:hAnsiTheme="majorHAnsi" w:cstheme="majorHAnsi"/>
              </w:rPr>
            </w:pPr>
            <w:r w:rsidRPr="00EF062A">
              <w:rPr>
                <w:rFonts w:asciiTheme="majorHAnsi" w:hAnsiTheme="majorHAnsi" w:cstheme="majorHAnsi"/>
              </w:rPr>
              <w:t>The purpose of this study was to explore the role of acceptance during the transition process for autistic young adults, their parents, and practitioners. Through focus groups and thematic analysis, the researchers aimed to better understand how acceptance, or lack of acceptance, influences self-advocacy, self-understanding, family experiences, and professional support during transition into adulthood.</w:t>
            </w:r>
          </w:p>
        </w:tc>
      </w:tr>
      <w:tr w:rsidR="003D7C2E" w:rsidRPr="008926A5" w14:paraId="5E054BC7" w14:textId="77777777" w:rsidTr="000F4E6E">
        <w:tc>
          <w:tcPr>
            <w:tcW w:w="11347" w:type="dxa"/>
            <w:shd w:val="clear" w:color="auto" w:fill="2E74B5" w:themeFill="accent1" w:themeFillShade="BF"/>
          </w:tcPr>
          <w:p w14:paraId="52E60972" w14:textId="676823DF"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color w:val="FFFFFF" w:themeColor="background1"/>
                <w:sz w:val="24"/>
                <w:szCs w:val="24"/>
              </w:rPr>
              <w:t>How might you apply the results in your setting?</w:t>
            </w:r>
          </w:p>
        </w:tc>
      </w:tr>
      <w:tr w:rsidR="003D7C2E" w:rsidRPr="008926A5" w14:paraId="66476889" w14:textId="77777777" w:rsidTr="000F4E6E">
        <w:tc>
          <w:tcPr>
            <w:tcW w:w="11347" w:type="dxa"/>
          </w:tcPr>
          <w:p w14:paraId="5ECDB4AE" w14:textId="5D278B57" w:rsidR="00EF062A" w:rsidRPr="00451BCB" w:rsidRDefault="00EF062A" w:rsidP="00EF062A">
            <w:pPr>
              <w:pStyle w:val="ListParagraph"/>
              <w:numPr>
                <w:ilvl w:val="0"/>
                <w:numId w:val="23"/>
              </w:numPr>
              <w:rPr>
                <w:rFonts w:asciiTheme="majorHAnsi" w:hAnsiTheme="majorHAnsi" w:cstheme="majorHAnsi"/>
              </w:rPr>
            </w:pPr>
            <w:r w:rsidRPr="00451BCB">
              <w:rPr>
                <w:rFonts w:asciiTheme="majorHAnsi" w:hAnsiTheme="majorHAnsi" w:cstheme="majorHAnsi"/>
              </w:rPr>
              <w:t>Self-advocacy and self-acceptance were central themes for autistic youth.</w:t>
            </w:r>
            <w:r w:rsidR="00681077">
              <w:rPr>
                <w:rFonts w:asciiTheme="majorHAnsi" w:hAnsiTheme="majorHAnsi" w:cstheme="majorHAnsi"/>
              </w:rPr>
              <w:t xml:space="preserve"> </w:t>
            </w:r>
            <w:r w:rsidRPr="00451BCB">
              <w:rPr>
                <w:rFonts w:asciiTheme="majorHAnsi" w:hAnsiTheme="majorHAnsi" w:cstheme="majorHAnsi"/>
              </w:rPr>
              <w:t xml:space="preserve">This highlights the importance of explicitly teaching and supporting students in understanding and accepting their identity as part of transition planning. </w:t>
            </w:r>
          </w:p>
          <w:p w14:paraId="3CFCD24B" w14:textId="77777777" w:rsidR="00EF062A" w:rsidRPr="00451BCB" w:rsidRDefault="00EF062A" w:rsidP="00EF062A">
            <w:pPr>
              <w:pStyle w:val="ListParagraph"/>
              <w:rPr>
                <w:rFonts w:asciiTheme="majorHAnsi" w:hAnsiTheme="majorHAnsi" w:cstheme="majorHAnsi"/>
              </w:rPr>
            </w:pPr>
          </w:p>
          <w:p w14:paraId="14996DFA" w14:textId="564FC7A2" w:rsidR="00EF062A" w:rsidRPr="00451BCB" w:rsidRDefault="00EF062A" w:rsidP="00EF062A">
            <w:pPr>
              <w:pStyle w:val="ListParagraph"/>
              <w:numPr>
                <w:ilvl w:val="0"/>
                <w:numId w:val="23"/>
              </w:numPr>
              <w:rPr>
                <w:rFonts w:asciiTheme="majorHAnsi" w:hAnsiTheme="majorHAnsi" w:cstheme="majorHAnsi"/>
              </w:rPr>
            </w:pPr>
            <w:r w:rsidRPr="00451BCB">
              <w:rPr>
                <w:rFonts w:asciiTheme="majorHAnsi" w:hAnsiTheme="majorHAnsi" w:cstheme="majorHAnsi"/>
              </w:rPr>
              <w:t>Lack of understanding and acceptance was commonly experienced by youth and parents.</w:t>
            </w:r>
            <w:r w:rsidR="00681077">
              <w:rPr>
                <w:rFonts w:asciiTheme="majorHAnsi" w:hAnsiTheme="majorHAnsi" w:cstheme="majorHAnsi"/>
              </w:rPr>
              <w:t xml:space="preserve"> </w:t>
            </w:r>
            <w:r w:rsidRPr="00451BCB">
              <w:rPr>
                <w:rFonts w:asciiTheme="majorHAnsi" w:hAnsiTheme="majorHAnsi" w:cstheme="majorHAnsi"/>
              </w:rPr>
              <w:t xml:space="preserve">This suggests a need for improved education and awareness among professionals and community members, especially regarding sensory and communication needs. </w:t>
            </w:r>
          </w:p>
          <w:p w14:paraId="0FF394E5" w14:textId="77777777" w:rsidR="00EF062A" w:rsidRPr="00451BCB" w:rsidRDefault="00EF062A" w:rsidP="00EF062A">
            <w:pPr>
              <w:pStyle w:val="ListParagraph"/>
              <w:rPr>
                <w:rFonts w:asciiTheme="majorHAnsi" w:hAnsiTheme="majorHAnsi" w:cstheme="majorHAnsi"/>
              </w:rPr>
            </w:pPr>
          </w:p>
          <w:p w14:paraId="5D1CBF79" w14:textId="26F27672" w:rsidR="00EF062A" w:rsidRPr="00451BCB" w:rsidRDefault="00EF062A" w:rsidP="00EF062A">
            <w:pPr>
              <w:pStyle w:val="ListParagraph"/>
              <w:numPr>
                <w:ilvl w:val="0"/>
                <w:numId w:val="23"/>
              </w:numPr>
              <w:rPr>
                <w:rFonts w:asciiTheme="majorHAnsi" w:hAnsiTheme="majorHAnsi" w:cstheme="majorHAnsi"/>
              </w:rPr>
            </w:pPr>
            <w:r w:rsidRPr="00451BCB">
              <w:rPr>
                <w:rFonts w:asciiTheme="majorHAnsi" w:hAnsiTheme="majorHAnsi" w:cstheme="majorHAnsi"/>
              </w:rPr>
              <w:t>Parents identified limited understanding from medical professionals</w:t>
            </w:r>
            <w:r w:rsidR="00681077">
              <w:rPr>
                <w:rFonts w:asciiTheme="majorHAnsi" w:hAnsiTheme="majorHAnsi" w:cstheme="majorHAnsi"/>
              </w:rPr>
              <w:t xml:space="preserve">. </w:t>
            </w:r>
            <w:r w:rsidRPr="00451BCB">
              <w:rPr>
                <w:rFonts w:asciiTheme="majorHAnsi" w:hAnsiTheme="majorHAnsi" w:cstheme="majorHAnsi"/>
              </w:rPr>
              <w:t xml:space="preserve">This reinforces the importance of cross-system collaboration and consistent, informed support across educational and medical settings. </w:t>
            </w:r>
          </w:p>
          <w:p w14:paraId="5682B529" w14:textId="77777777" w:rsidR="00EF062A" w:rsidRPr="00451BCB" w:rsidRDefault="00EF062A" w:rsidP="00EF062A">
            <w:pPr>
              <w:ind w:left="360"/>
              <w:rPr>
                <w:rFonts w:asciiTheme="majorHAnsi" w:hAnsiTheme="majorHAnsi" w:cstheme="majorHAnsi"/>
              </w:rPr>
            </w:pPr>
          </w:p>
          <w:p w14:paraId="32EA72E1" w14:textId="0520F179" w:rsidR="00EF062A" w:rsidRPr="00451BCB" w:rsidRDefault="00EF062A" w:rsidP="00EF062A">
            <w:pPr>
              <w:pStyle w:val="ListParagraph"/>
              <w:numPr>
                <w:ilvl w:val="0"/>
                <w:numId w:val="22"/>
              </w:numPr>
              <w:rPr>
                <w:rFonts w:asciiTheme="majorHAnsi" w:hAnsiTheme="majorHAnsi" w:cstheme="majorHAnsi"/>
              </w:rPr>
            </w:pPr>
            <w:r w:rsidRPr="00451BCB">
              <w:rPr>
                <w:rFonts w:asciiTheme="majorHAnsi" w:hAnsiTheme="majorHAnsi" w:cstheme="majorHAnsi"/>
              </w:rPr>
              <w:t>Practitioners noted some community openness toward autism acceptance.</w:t>
            </w:r>
            <w:r w:rsidR="00681077">
              <w:rPr>
                <w:rFonts w:asciiTheme="majorHAnsi" w:hAnsiTheme="majorHAnsi" w:cstheme="majorHAnsi"/>
              </w:rPr>
              <w:t xml:space="preserve"> </w:t>
            </w:r>
            <w:r w:rsidRPr="00451BCB">
              <w:rPr>
                <w:rFonts w:asciiTheme="majorHAnsi" w:hAnsiTheme="majorHAnsi" w:cstheme="majorHAnsi"/>
              </w:rPr>
              <w:t xml:space="preserve">This shows that positive change is possible and highlights the role professionals can play in building more accepting environments. </w:t>
            </w:r>
          </w:p>
          <w:p w14:paraId="24B340A1" w14:textId="77777777" w:rsidR="00EF062A" w:rsidRPr="00451BCB" w:rsidRDefault="00EF062A" w:rsidP="00EF062A">
            <w:pPr>
              <w:pStyle w:val="ListParagraph"/>
              <w:rPr>
                <w:rFonts w:asciiTheme="majorHAnsi" w:hAnsiTheme="majorHAnsi" w:cstheme="majorHAnsi"/>
              </w:rPr>
            </w:pPr>
          </w:p>
          <w:p w14:paraId="035B7295" w14:textId="2E82C77A" w:rsidR="003D7C2E" w:rsidRPr="00EF062A" w:rsidRDefault="00EF062A" w:rsidP="00EF062A">
            <w:pPr>
              <w:pStyle w:val="ListParagraph"/>
              <w:numPr>
                <w:ilvl w:val="0"/>
                <w:numId w:val="21"/>
              </w:numPr>
              <w:rPr>
                <w:rFonts w:asciiTheme="majorHAnsi" w:hAnsiTheme="majorHAnsi" w:cstheme="majorHAnsi"/>
                <w:sz w:val="24"/>
                <w:szCs w:val="24"/>
              </w:rPr>
            </w:pPr>
            <w:r w:rsidRPr="00451BCB">
              <w:rPr>
                <w:rFonts w:asciiTheme="majorHAnsi" w:hAnsiTheme="majorHAnsi" w:cstheme="majorHAnsi"/>
              </w:rPr>
              <w:lastRenderedPageBreak/>
              <w:t>Acceptance is directly tied to well-being and successful transition.</w:t>
            </w:r>
            <w:r w:rsidR="00681077">
              <w:rPr>
                <w:rFonts w:asciiTheme="majorHAnsi" w:hAnsiTheme="majorHAnsi" w:cstheme="majorHAnsi"/>
              </w:rPr>
              <w:t xml:space="preserve"> </w:t>
            </w:r>
            <w:r w:rsidRPr="00451BCB">
              <w:rPr>
                <w:rFonts w:asciiTheme="majorHAnsi" w:hAnsiTheme="majorHAnsi" w:cstheme="majorHAnsi"/>
              </w:rPr>
              <w:t>This underscores that promoting acceptance is not optional—it is a key factor</w:t>
            </w:r>
            <w:r w:rsidRPr="00EF062A">
              <w:rPr>
                <w:rFonts w:asciiTheme="majorHAnsi" w:hAnsiTheme="majorHAnsi" w:cstheme="majorHAnsi"/>
              </w:rPr>
              <w:t xml:space="preserve"> in supporting positive outcomes for autistic individuals and their families.</w:t>
            </w: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15"/>
      <w:footerReference w:type="default" r:id="rId16"/>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7FA7" w14:textId="77777777" w:rsidR="003330DD" w:rsidRDefault="003330DD" w:rsidP="002A0533">
      <w:r>
        <w:separator/>
      </w:r>
    </w:p>
  </w:endnote>
  <w:endnote w:type="continuationSeparator" w:id="0">
    <w:p w14:paraId="510098D5" w14:textId="77777777" w:rsidR="003330DD" w:rsidRDefault="003330DD"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EDD8" w14:textId="77777777" w:rsidR="003330DD" w:rsidRDefault="003330DD" w:rsidP="002A0533">
      <w:r>
        <w:separator/>
      </w:r>
    </w:p>
  </w:footnote>
  <w:footnote w:type="continuationSeparator" w:id="0">
    <w:p w14:paraId="496ADD72" w14:textId="77777777" w:rsidR="003330DD" w:rsidRDefault="003330DD"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0266"/>
    <w:multiLevelType w:val="hybridMultilevel"/>
    <w:tmpl w:val="6D8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A3F63"/>
    <w:multiLevelType w:val="hybridMultilevel"/>
    <w:tmpl w:val="0F5A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F6FEB"/>
    <w:multiLevelType w:val="multilevel"/>
    <w:tmpl w:val="A4B8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8083B"/>
    <w:multiLevelType w:val="hybridMultilevel"/>
    <w:tmpl w:val="F65E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10932"/>
    <w:multiLevelType w:val="hybridMultilevel"/>
    <w:tmpl w:val="04E8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1397B"/>
    <w:multiLevelType w:val="multilevel"/>
    <w:tmpl w:val="DB8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E4552"/>
    <w:multiLevelType w:val="hybridMultilevel"/>
    <w:tmpl w:val="596E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32626"/>
    <w:multiLevelType w:val="hybridMultilevel"/>
    <w:tmpl w:val="5900B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121F8"/>
    <w:multiLevelType w:val="hybridMultilevel"/>
    <w:tmpl w:val="A01E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E43EC"/>
    <w:multiLevelType w:val="hybridMultilevel"/>
    <w:tmpl w:val="D3C4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C6489"/>
    <w:multiLevelType w:val="hybridMultilevel"/>
    <w:tmpl w:val="438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3447F"/>
    <w:multiLevelType w:val="hybridMultilevel"/>
    <w:tmpl w:val="1D02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852538">
    <w:abstractNumId w:val="9"/>
  </w:num>
  <w:num w:numId="2" w16cid:durableId="1650205260">
    <w:abstractNumId w:val="21"/>
  </w:num>
  <w:num w:numId="3" w16cid:durableId="1946380903">
    <w:abstractNumId w:val="7"/>
  </w:num>
  <w:num w:numId="4" w16cid:durableId="1368096405">
    <w:abstractNumId w:val="0"/>
  </w:num>
  <w:num w:numId="5" w16cid:durableId="340476949">
    <w:abstractNumId w:val="16"/>
  </w:num>
  <w:num w:numId="6" w16cid:durableId="631058859">
    <w:abstractNumId w:val="13"/>
  </w:num>
  <w:num w:numId="7" w16cid:durableId="1362902028">
    <w:abstractNumId w:val="19"/>
  </w:num>
  <w:num w:numId="8" w16cid:durableId="1170869880">
    <w:abstractNumId w:val="6"/>
  </w:num>
  <w:num w:numId="9" w16cid:durableId="790587448">
    <w:abstractNumId w:val="5"/>
  </w:num>
  <w:num w:numId="10" w16cid:durableId="130834578">
    <w:abstractNumId w:val="12"/>
  </w:num>
  <w:num w:numId="11" w16cid:durableId="632516975">
    <w:abstractNumId w:val="1"/>
  </w:num>
  <w:num w:numId="12" w16cid:durableId="1828284005">
    <w:abstractNumId w:val="4"/>
  </w:num>
  <w:num w:numId="13" w16cid:durableId="223224653">
    <w:abstractNumId w:val="23"/>
  </w:num>
  <w:num w:numId="14" w16cid:durableId="203294141">
    <w:abstractNumId w:val="3"/>
  </w:num>
  <w:num w:numId="15" w16cid:durableId="2010785279">
    <w:abstractNumId w:val="25"/>
  </w:num>
  <w:num w:numId="16" w16cid:durableId="258223597">
    <w:abstractNumId w:val="11"/>
  </w:num>
  <w:num w:numId="17" w16cid:durableId="291137589">
    <w:abstractNumId w:val="22"/>
  </w:num>
  <w:num w:numId="18" w16cid:durableId="1185250689">
    <w:abstractNumId w:val="8"/>
  </w:num>
  <w:num w:numId="19" w16cid:durableId="1413312185">
    <w:abstractNumId w:val="17"/>
  </w:num>
  <w:num w:numId="20" w16cid:durableId="1799106661">
    <w:abstractNumId w:val="10"/>
  </w:num>
  <w:num w:numId="21" w16cid:durableId="2139714686">
    <w:abstractNumId w:val="24"/>
  </w:num>
  <w:num w:numId="22" w16cid:durableId="420375046">
    <w:abstractNumId w:val="14"/>
  </w:num>
  <w:num w:numId="23" w16cid:durableId="2127772684">
    <w:abstractNumId w:val="18"/>
  </w:num>
  <w:num w:numId="24" w16cid:durableId="1414281249">
    <w:abstractNumId w:val="28"/>
  </w:num>
  <w:num w:numId="25" w16cid:durableId="696396985">
    <w:abstractNumId w:val="26"/>
  </w:num>
  <w:num w:numId="26" w16cid:durableId="1117725230">
    <w:abstractNumId w:val="27"/>
  </w:num>
  <w:num w:numId="27" w16cid:durableId="1913810109">
    <w:abstractNumId w:val="20"/>
  </w:num>
  <w:num w:numId="28" w16cid:durableId="404107336">
    <w:abstractNumId w:val="2"/>
  </w:num>
  <w:num w:numId="29" w16cid:durableId="131220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47D28"/>
    <w:rsid w:val="000516B5"/>
    <w:rsid w:val="00051877"/>
    <w:rsid w:val="00064CF4"/>
    <w:rsid w:val="00082C4C"/>
    <w:rsid w:val="00083E8B"/>
    <w:rsid w:val="000B0245"/>
    <w:rsid w:val="000B6F22"/>
    <w:rsid w:val="000D3CEF"/>
    <w:rsid w:val="000E2A1E"/>
    <w:rsid w:val="000F188D"/>
    <w:rsid w:val="000F4E6E"/>
    <w:rsid w:val="00101969"/>
    <w:rsid w:val="00144CCB"/>
    <w:rsid w:val="00145D47"/>
    <w:rsid w:val="00153B16"/>
    <w:rsid w:val="00185029"/>
    <w:rsid w:val="001862DA"/>
    <w:rsid w:val="00192711"/>
    <w:rsid w:val="001A6904"/>
    <w:rsid w:val="001D708D"/>
    <w:rsid w:val="001D7309"/>
    <w:rsid w:val="001F6183"/>
    <w:rsid w:val="002A0533"/>
    <w:rsid w:val="002C3935"/>
    <w:rsid w:val="002C3C3E"/>
    <w:rsid w:val="002C3CF8"/>
    <w:rsid w:val="002E24C8"/>
    <w:rsid w:val="002F371F"/>
    <w:rsid w:val="00312353"/>
    <w:rsid w:val="003144A1"/>
    <w:rsid w:val="003330DD"/>
    <w:rsid w:val="00354902"/>
    <w:rsid w:val="00366842"/>
    <w:rsid w:val="003A1A18"/>
    <w:rsid w:val="003C7677"/>
    <w:rsid w:val="003D7C2E"/>
    <w:rsid w:val="003E3BFD"/>
    <w:rsid w:val="003F3614"/>
    <w:rsid w:val="00407AF2"/>
    <w:rsid w:val="00410638"/>
    <w:rsid w:val="00415067"/>
    <w:rsid w:val="00415371"/>
    <w:rsid w:val="00423C7C"/>
    <w:rsid w:val="00451BCB"/>
    <w:rsid w:val="004776D0"/>
    <w:rsid w:val="004A2426"/>
    <w:rsid w:val="004C42E9"/>
    <w:rsid w:val="004D0A48"/>
    <w:rsid w:val="004D3974"/>
    <w:rsid w:val="00510B5B"/>
    <w:rsid w:val="00511D58"/>
    <w:rsid w:val="00527DA3"/>
    <w:rsid w:val="005339CF"/>
    <w:rsid w:val="00543DF5"/>
    <w:rsid w:val="005455D5"/>
    <w:rsid w:val="005526C2"/>
    <w:rsid w:val="0055359A"/>
    <w:rsid w:val="005644B6"/>
    <w:rsid w:val="00564811"/>
    <w:rsid w:val="00571338"/>
    <w:rsid w:val="00571A33"/>
    <w:rsid w:val="00583BD1"/>
    <w:rsid w:val="0058741B"/>
    <w:rsid w:val="005A1D6B"/>
    <w:rsid w:val="005A5B34"/>
    <w:rsid w:val="005A7C8F"/>
    <w:rsid w:val="005B3E43"/>
    <w:rsid w:val="00611418"/>
    <w:rsid w:val="00612363"/>
    <w:rsid w:val="00625980"/>
    <w:rsid w:val="006411C8"/>
    <w:rsid w:val="00643E77"/>
    <w:rsid w:val="0066722E"/>
    <w:rsid w:val="00681077"/>
    <w:rsid w:val="006B561A"/>
    <w:rsid w:val="006B650D"/>
    <w:rsid w:val="006C3B68"/>
    <w:rsid w:val="006D0431"/>
    <w:rsid w:val="006D309C"/>
    <w:rsid w:val="006D512E"/>
    <w:rsid w:val="00722CA0"/>
    <w:rsid w:val="0072333B"/>
    <w:rsid w:val="0072725B"/>
    <w:rsid w:val="00763719"/>
    <w:rsid w:val="0076654A"/>
    <w:rsid w:val="00771B55"/>
    <w:rsid w:val="007752EA"/>
    <w:rsid w:val="007A2A4B"/>
    <w:rsid w:val="007B2987"/>
    <w:rsid w:val="007C77C2"/>
    <w:rsid w:val="007E750E"/>
    <w:rsid w:val="007F78FB"/>
    <w:rsid w:val="007F7A8B"/>
    <w:rsid w:val="0080104D"/>
    <w:rsid w:val="00801555"/>
    <w:rsid w:val="00803D0B"/>
    <w:rsid w:val="00830FD3"/>
    <w:rsid w:val="00855F98"/>
    <w:rsid w:val="00857187"/>
    <w:rsid w:val="00861BAE"/>
    <w:rsid w:val="008926A5"/>
    <w:rsid w:val="008A0B63"/>
    <w:rsid w:val="008A0E5F"/>
    <w:rsid w:val="008C48EF"/>
    <w:rsid w:val="008F3290"/>
    <w:rsid w:val="009370C9"/>
    <w:rsid w:val="00951E25"/>
    <w:rsid w:val="00961A25"/>
    <w:rsid w:val="00993D8B"/>
    <w:rsid w:val="009D790D"/>
    <w:rsid w:val="00A039B3"/>
    <w:rsid w:val="00A366A7"/>
    <w:rsid w:val="00A45077"/>
    <w:rsid w:val="00A6520A"/>
    <w:rsid w:val="00A8056F"/>
    <w:rsid w:val="00A9370B"/>
    <w:rsid w:val="00AC584C"/>
    <w:rsid w:val="00AD0A2B"/>
    <w:rsid w:val="00AD22AF"/>
    <w:rsid w:val="00B0290A"/>
    <w:rsid w:val="00B13BBF"/>
    <w:rsid w:val="00B15EA5"/>
    <w:rsid w:val="00B20D20"/>
    <w:rsid w:val="00B24A48"/>
    <w:rsid w:val="00B47545"/>
    <w:rsid w:val="00B94823"/>
    <w:rsid w:val="00BA0807"/>
    <w:rsid w:val="00BB3E4C"/>
    <w:rsid w:val="00C06B4B"/>
    <w:rsid w:val="00C26DCC"/>
    <w:rsid w:val="00C73265"/>
    <w:rsid w:val="00C84655"/>
    <w:rsid w:val="00CE321A"/>
    <w:rsid w:val="00CE5844"/>
    <w:rsid w:val="00CF4690"/>
    <w:rsid w:val="00D251BE"/>
    <w:rsid w:val="00D454C8"/>
    <w:rsid w:val="00D457F2"/>
    <w:rsid w:val="00D70074"/>
    <w:rsid w:val="00D9235B"/>
    <w:rsid w:val="00D9296A"/>
    <w:rsid w:val="00DA5AC8"/>
    <w:rsid w:val="00DA7957"/>
    <w:rsid w:val="00DB2960"/>
    <w:rsid w:val="00DE0814"/>
    <w:rsid w:val="00DF279D"/>
    <w:rsid w:val="00E117E4"/>
    <w:rsid w:val="00E30D00"/>
    <w:rsid w:val="00E3382E"/>
    <w:rsid w:val="00E351B8"/>
    <w:rsid w:val="00E352EE"/>
    <w:rsid w:val="00E61E89"/>
    <w:rsid w:val="00E73804"/>
    <w:rsid w:val="00E91A3B"/>
    <w:rsid w:val="00EA2EAD"/>
    <w:rsid w:val="00EB1DCE"/>
    <w:rsid w:val="00ED1935"/>
    <w:rsid w:val="00EF062A"/>
    <w:rsid w:val="00EF55B6"/>
    <w:rsid w:val="00F237B9"/>
    <w:rsid w:val="00F26684"/>
    <w:rsid w:val="00F30EEB"/>
    <w:rsid w:val="00F4336C"/>
    <w:rsid w:val="00F44FEE"/>
    <w:rsid w:val="00FA084D"/>
    <w:rsid w:val="00FB47C6"/>
    <w:rsid w:val="00FB5052"/>
    <w:rsid w:val="00FC35AE"/>
    <w:rsid w:val="00FD6244"/>
    <w:rsid w:val="00FE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7187"/>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3969415231168571" TargetMode="External"/><Relationship Id="rId13" Type="http://schemas.openxmlformats.org/officeDocument/2006/relationships/hyperlink" Target="https://doi.org/10.1007/s10803-021-0503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52/2326-6988-11.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its.701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uprimo.hosted.exlibrisgroup.com/permalink/f/1ik10ij/TN_cdi_crossref_" TargetMode="External"/><Relationship Id="rId4" Type="http://schemas.openxmlformats.org/officeDocument/2006/relationships/settings" Target="settings.xml"/><Relationship Id="rId9" Type="http://schemas.openxmlformats.org/officeDocument/2006/relationships/hyperlink" Target="https://doi.org/10.1093/police/paaa059" TargetMode="External"/><Relationship Id="rId14" Type="http://schemas.openxmlformats.org/officeDocument/2006/relationships/hyperlink" Target="https://kuprimo.hosted.exlibrisgroup.com/permalink/f/1ik10ij/TN_cdi_gale_infotracmisc_A6978190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5</cp:revision>
  <cp:lastPrinted>2015-04-14T23:03:00Z</cp:lastPrinted>
  <dcterms:created xsi:type="dcterms:W3CDTF">2026-05-03T00:31:00Z</dcterms:created>
  <dcterms:modified xsi:type="dcterms:W3CDTF">2026-05-04T16:27:00Z</dcterms:modified>
</cp:coreProperties>
</file>