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7262" w14:textId="07DD017F" w:rsidR="000E2A1E" w:rsidRPr="00B15EA5" w:rsidRDefault="000E2A1E" w:rsidP="007E750E">
      <w:pPr>
        <w:pStyle w:val="Heading1"/>
        <w:spacing w:line="240" w:lineRule="auto"/>
        <w:contextualSpacing/>
        <w:jc w:val="center"/>
        <w:rPr>
          <w:rStyle w:val="Strong"/>
          <w:rFonts w:ascii="Arial" w:hAnsi="Arial"/>
          <w:b/>
          <w:bCs w:val="0"/>
          <w:color w:val="1F4E79" w:themeColor="accent1" w:themeShade="80"/>
        </w:rPr>
      </w:pPr>
      <w:r w:rsidRPr="00B15EA5">
        <w:rPr>
          <w:rStyle w:val="Strong"/>
          <w:rFonts w:ascii="Arial" w:hAnsi="Arial"/>
          <w:b/>
          <w:bCs w:val="0"/>
          <w:color w:val="1F4E79" w:themeColor="accent1" w:themeShade="80"/>
        </w:rPr>
        <w:t>SPED 898 Literature Review Template</w:t>
      </w:r>
    </w:p>
    <w:p w14:paraId="22C9989F" w14:textId="587EE17C" w:rsidR="000D3CEF" w:rsidRDefault="00722CA0" w:rsidP="008A0B63">
      <w:pPr>
        <w:spacing w:line="240" w:lineRule="auto"/>
        <w:contextualSpacing/>
        <w:jc w:val="center"/>
        <w:rPr>
          <w:rStyle w:val="Strong"/>
        </w:rPr>
      </w:pPr>
      <w:r w:rsidRPr="00A45077">
        <w:rPr>
          <w:rStyle w:val="Strong"/>
          <w:sz w:val="28"/>
          <w:szCs w:val="28"/>
          <w:highlight w:val="yellow"/>
          <w:u w:val="single"/>
        </w:rPr>
        <w:t xml:space="preserve">Domain: </w:t>
      </w:r>
      <w:r w:rsidR="008A0B63">
        <w:rPr>
          <w:rStyle w:val="Strong"/>
          <w:sz w:val="28"/>
          <w:szCs w:val="28"/>
          <w:highlight w:val="yellow"/>
          <w:u w:val="single"/>
        </w:rPr>
        <w:t>Assessment</w:t>
      </w:r>
    </w:p>
    <w:p w14:paraId="0B3998DF" w14:textId="77777777" w:rsidR="008A0B63" w:rsidRPr="008A0B63" w:rsidRDefault="008A0B63" w:rsidP="008A0B63">
      <w:pPr>
        <w:spacing w:line="240" w:lineRule="auto"/>
        <w:contextualSpacing/>
        <w:jc w:val="center"/>
        <w:rPr>
          <w:b/>
          <w:bCs/>
          <w:sz w:val="28"/>
          <w:szCs w:val="28"/>
          <w:u w:val="single"/>
        </w:rPr>
      </w:pPr>
    </w:p>
    <w:tbl>
      <w:tblPr>
        <w:tblStyle w:val="TableGrid"/>
        <w:tblW w:w="11347" w:type="dxa"/>
        <w:tblBorders>
          <w:left w:val="none" w:sz="0" w:space="0" w:color="auto"/>
          <w:right w:val="none" w:sz="0" w:space="0" w:color="auto"/>
        </w:tblBorders>
        <w:tblLook w:val="04A0" w:firstRow="1" w:lastRow="0" w:firstColumn="1" w:lastColumn="0" w:noHBand="0" w:noVBand="1"/>
      </w:tblPr>
      <w:tblGrid>
        <w:gridCol w:w="11738"/>
      </w:tblGrid>
      <w:tr w:rsidR="003D7C2E" w:rsidRPr="008926A5" w14:paraId="53707737" w14:textId="77777777" w:rsidTr="000F4E6E">
        <w:trPr>
          <w:cnfStyle w:val="100000000000" w:firstRow="1" w:lastRow="0" w:firstColumn="0" w:lastColumn="0" w:oddVBand="0" w:evenVBand="0" w:oddHBand="0" w:evenHBand="0" w:firstRowFirstColumn="0" w:firstRowLastColumn="0" w:lastRowFirstColumn="0" w:lastRowLastColumn="0"/>
        </w:trPr>
        <w:tc>
          <w:tcPr>
            <w:tcW w:w="11347" w:type="dxa"/>
            <w:shd w:val="clear" w:color="auto" w:fill="1F4E79" w:themeFill="accent1" w:themeFillShade="80"/>
          </w:tcPr>
          <w:p w14:paraId="4F56E3DD" w14:textId="3D9EF0E6" w:rsidR="003D7C2E" w:rsidRPr="008926A5" w:rsidRDefault="003D7C2E" w:rsidP="007E750E">
            <w:pPr>
              <w:contextualSpacing/>
              <w:jc w:val="right"/>
              <w:rPr>
                <w:rStyle w:val="Strong"/>
                <w:rFonts w:asciiTheme="majorHAnsi" w:hAnsiTheme="majorHAnsi" w:cstheme="majorHAnsi"/>
                <w:b/>
                <w:bCs w:val="0"/>
                <w:color w:val="FFFFFF" w:themeColor="background1"/>
                <w:sz w:val="24"/>
                <w:szCs w:val="24"/>
              </w:rPr>
            </w:pPr>
            <w:r w:rsidRPr="008926A5">
              <w:rPr>
                <w:rStyle w:val="Strong"/>
                <w:rFonts w:asciiTheme="majorHAnsi" w:hAnsiTheme="majorHAnsi" w:cstheme="majorHAnsi"/>
                <w:b/>
                <w:bCs w:val="0"/>
                <w:color w:val="FFFFFF" w:themeColor="background1"/>
                <w:sz w:val="24"/>
                <w:szCs w:val="24"/>
              </w:rPr>
              <w:t>Article ONE</w:t>
            </w:r>
          </w:p>
        </w:tc>
      </w:tr>
      <w:tr w:rsidR="003D7C2E" w:rsidRPr="008926A5" w14:paraId="69BB1930" w14:textId="77777777" w:rsidTr="000F4E6E">
        <w:tc>
          <w:tcPr>
            <w:tcW w:w="11347" w:type="dxa"/>
            <w:shd w:val="clear" w:color="auto" w:fill="2E74B5" w:themeFill="accent1" w:themeFillShade="BF"/>
          </w:tcPr>
          <w:p w14:paraId="1C9A6255" w14:textId="7C72957C"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3BAFC3AD" w14:textId="77777777" w:rsidTr="000F4E6E">
        <w:tc>
          <w:tcPr>
            <w:tcW w:w="11347" w:type="dxa"/>
          </w:tcPr>
          <w:p w14:paraId="3A08220C" w14:textId="3B0BB14F" w:rsidR="00D01B11" w:rsidRDefault="00D01B11" w:rsidP="00D01B11">
            <w:r>
              <w:t xml:space="preserve">Yu, Y., Ozonoff, S., &amp; Miller, M. (2024). Assessment of </w:t>
            </w:r>
            <w:r w:rsidR="000F32DE">
              <w:t>a</w:t>
            </w:r>
            <w:r>
              <w:t xml:space="preserve">utism </w:t>
            </w:r>
            <w:r w:rsidR="000F32DE">
              <w:t>s</w:t>
            </w:r>
            <w:r>
              <w:t xml:space="preserve">pectrum </w:t>
            </w:r>
            <w:r w:rsidR="000F32DE">
              <w:t>d</w:t>
            </w:r>
            <w:r>
              <w:t xml:space="preserve">isorder. </w:t>
            </w:r>
            <w:r>
              <w:rPr>
                <w:i/>
                <w:iCs/>
              </w:rPr>
              <w:t>Assessment</w:t>
            </w:r>
            <w:r w:rsidR="00F555BE">
              <w:rPr>
                <w:i/>
                <w:iCs/>
              </w:rPr>
              <w:t>,</w:t>
            </w:r>
            <w:r>
              <w:t xml:space="preserve"> </w:t>
            </w:r>
          </w:p>
          <w:p w14:paraId="0B4DF8CA" w14:textId="77777777" w:rsidR="00D01B11" w:rsidRDefault="00D01B11" w:rsidP="00D01B11">
            <w:pPr>
              <w:rPr>
                <w:i/>
                <w:iCs/>
              </w:rPr>
            </w:pPr>
          </w:p>
          <w:p w14:paraId="08F10DB8" w14:textId="5B537A23" w:rsidR="00D01B11" w:rsidRDefault="00D01B11" w:rsidP="00D01B11">
            <w:pPr>
              <w:rPr>
                <w:rFonts w:ascii="Times New Roman" w:hAnsi="Times New Roman" w:cs="Times New Roman"/>
              </w:rPr>
            </w:pPr>
            <w:r>
              <w:rPr>
                <w:i/>
                <w:iCs/>
              </w:rPr>
              <w:t xml:space="preserve">     31</w:t>
            </w:r>
            <w:r>
              <w:t>(1), 24–41. https://doi.org/10.1177/10731911231173089</w:t>
            </w:r>
          </w:p>
          <w:p w14:paraId="49C23D20" w14:textId="65D14669" w:rsidR="003D7C2E" w:rsidRPr="007E750E" w:rsidRDefault="003D7C2E" w:rsidP="008A0B63">
            <w:pPr>
              <w:ind w:left="720" w:hanging="720"/>
              <w:contextualSpacing/>
              <w:rPr>
                <w:rFonts w:asciiTheme="majorHAnsi" w:hAnsiTheme="majorHAnsi" w:cstheme="majorHAnsi"/>
                <w:sz w:val="24"/>
                <w:szCs w:val="24"/>
              </w:rPr>
            </w:pPr>
          </w:p>
        </w:tc>
      </w:tr>
      <w:tr w:rsidR="003D7C2E" w:rsidRPr="008926A5" w14:paraId="0F9AFDC6" w14:textId="77777777" w:rsidTr="000F4E6E">
        <w:tc>
          <w:tcPr>
            <w:tcW w:w="11347" w:type="dxa"/>
            <w:shd w:val="clear" w:color="auto" w:fill="2E74B5" w:themeFill="accent1" w:themeFillShade="BF"/>
          </w:tcPr>
          <w:p w14:paraId="468C4E0C" w14:textId="2A2BC86D"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70E467DC" w14:textId="77777777" w:rsidTr="000F4E6E">
        <w:tc>
          <w:tcPr>
            <w:tcW w:w="11347" w:type="dxa"/>
          </w:tcPr>
          <w:p w14:paraId="561E8902" w14:textId="615A4F46" w:rsidR="00D01B11" w:rsidRPr="00E81849" w:rsidRDefault="00D01B11" w:rsidP="007E750E">
            <w:pPr>
              <w:contextualSpacing/>
              <w:rPr>
                <w:rFonts w:asciiTheme="majorHAnsi" w:hAnsiTheme="majorHAnsi" w:cstheme="majorHAnsi"/>
              </w:rPr>
            </w:pPr>
            <w:hyperlink r:id="rId8" w:history="1">
              <w:r w:rsidRPr="00E81849">
                <w:rPr>
                  <w:rStyle w:val="Hyperlink"/>
                  <w:rFonts w:asciiTheme="majorHAnsi" w:hAnsiTheme="majorHAnsi" w:cstheme="majorHAnsi"/>
                </w:rPr>
                <w:t>https://kuprimo.hosted.exlibrisgroup.com/permalink/f/1ik10ij/TN_cdi_crossref_citationtrail_</w:t>
              </w:r>
            </w:hyperlink>
          </w:p>
          <w:p w14:paraId="1A4F57B5" w14:textId="55B6F73C" w:rsidR="003D7C2E" w:rsidRPr="008926A5" w:rsidRDefault="00D01B11" w:rsidP="007E750E">
            <w:pPr>
              <w:contextualSpacing/>
              <w:rPr>
                <w:rFonts w:asciiTheme="majorHAnsi" w:hAnsiTheme="majorHAnsi" w:cstheme="majorHAnsi"/>
                <w:sz w:val="24"/>
                <w:szCs w:val="24"/>
              </w:rPr>
            </w:pPr>
            <w:r w:rsidRPr="00E81849">
              <w:rPr>
                <w:rFonts w:asciiTheme="majorHAnsi" w:hAnsiTheme="majorHAnsi" w:cstheme="majorHAnsi"/>
              </w:rPr>
              <w:t>10_1177_10731911231173089</w:t>
            </w:r>
          </w:p>
        </w:tc>
      </w:tr>
      <w:tr w:rsidR="003D7C2E" w:rsidRPr="008926A5" w14:paraId="5478F30D" w14:textId="77777777" w:rsidTr="000F4E6E">
        <w:tc>
          <w:tcPr>
            <w:tcW w:w="11347" w:type="dxa"/>
            <w:shd w:val="clear" w:color="auto" w:fill="2E74B5" w:themeFill="accent1" w:themeFillShade="BF"/>
          </w:tcPr>
          <w:p w14:paraId="60F28F86" w14:textId="430154C0"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0ED499B8" w14:textId="77777777" w:rsidTr="000F4E6E">
        <w:tc>
          <w:tcPr>
            <w:tcW w:w="11347" w:type="dxa"/>
          </w:tcPr>
          <w:p w14:paraId="3F111EBA" w14:textId="5F319270" w:rsidR="003D7C2E" w:rsidRPr="008926A5" w:rsidRDefault="00D01B11" w:rsidP="007E750E">
            <w:pPr>
              <w:contextualSpacing/>
              <w:rPr>
                <w:rFonts w:asciiTheme="majorHAnsi" w:hAnsiTheme="majorHAnsi" w:cstheme="majorHAnsi"/>
                <w:sz w:val="24"/>
                <w:szCs w:val="24"/>
              </w:rPr>
            </w:pPr>
            <w:r>
              <w:rPr>
                <w:rFonts w:ascii="Lato" w:hAnsi="Lato"/>
                <w:color w:val="2D3B45"/>
                <w:shd w:val="clear" w:color="auto" w:fill="FFFFFF"/>
              </w:rPr>
              <w:t>Domain 3.5: Knowledge of comprehensive assessment, including specialized terminology and assessment tools.</w:t>
            </w:r>
          </w:p>
        </w:tc>
      </w:tr>
      <w:tr w:rsidR="003D7C2E" w:rsidRPr="008926A5" w14:paraId="33E5CBA0" w14:textId="77777777" w:rsidTr="000F4E6E">
        <w:tc>
          <w:tcPr>
            <w:tcW w:w="11347" w:type="dxa"/>
            <w:shd w:val="clear" w:color="auto" w:fill="2E74B5" w:themeFill="accent1" w:themeFillShade="BF"/>
          </w:tcPr>
          <w:p w14:paraId="0D19DAA6" w14:textId="70849A69" w:rsidR="003D7C2E" w:rsidRPr="008926A5" w:rsidRDefault="002F371F"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9EDC260" w14:textId="77777777" w:rsidTr="000F4E6E">
        <w:tc>
          <w:tcPr>
            <w:tcW w:w="11347" w:type="dxa"/>
          </w:tcPr>
          <w:p w14:paraId="11C1913E" w14:textId="5B4AE270" w:rsidR="001D7309" w:rsidRPr="00153B16" w:rsidRDefault="00CD0B58" w:rsidP="007E750E">
            <w:pPr>
              <w:contextualSpacing/>
            </w:pPr>
            <w:r>
              <w:t>This article aligns with Domain 3.5 because it emphasizes understanding specialized assessment tools and terminology to accurately identify ASD and co-occurring conditions. In my classroom, knowing the purpose and use of evidence-based tools allows me to interpret assessment results effectively, communicate with families and colleagues, and guide individualized instruction. The article reinforces my practice of integrating assessment data into planning, ensuring interventions are appropriate and targeted to each learner’s strengths and needs.</w:t>
            </w:r>
          </w:p>
        </w:tc>
      </w:tr>
      <w:tr w:rsidR="003D7C2E" w:rsidRPr="008926A5" w14:paraId="537FDDC3" w14:textId="77777777" w:rsidTr="000F4E6E">
        <w:tc>
          <w:tcPr>
            <w:tcW w:w="11347" w:type="dxa"/>
            <w:shd w:val="clear" w:color="auto" w:fill="2E74B5" w:themeFill="accent1" w:themeFillShade="BF"/>
          </w:tcPr>
          <w:p w14:paraId="4146C853" w14:textId="47C2C111" w:rsidR="003D7C2E" w:rsidRPr="008926A5" w:rsidRDefault="00FA084D"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279B49D5" w14:textId="77777777" w:rsidTr="000F4E6E">
        <w:tc>
          <w:tcPr>
            <w:tcW w:w="11347" w:type="dxa"/>
          </w:tcPr>
          <w:p w14:paraId="1EE739A6" w14:textId="666B61C3" w:rsidR="00896603" w:rsidRPr="00896603" w:rsidRDefault="00CD0B58" w:rsidP="007E750E">
            <w:pPr>
              <w:contextualSpacing/>
            </w:pPr>
            <w:r>
              <w:t>The purpose of this article is to review recent updates in ASD diagnostic criteria and evidence-based instruments for screening, diagnostic evaluation, and assessment of co-occurring conditions. It highlights standardized tools and predictive measures that support early and accurate identification, as well as the importance of adapting assessments in contexts such as COVID-19.</w:t>
            </w:r>
          </w:p>
        </w:tc>
      </w:tr>
      <w:tr w:rsidR="003D7C2E" w:rsidRPr="008926A5" w14:paraId="78164A58" w14:textId="77777777" w:rsidTr="000F4E6E">
        <w:tc>
          <w:tcPr>
            <w:tcW w:w="11347" w:type="dxa"/>
            <w:shd w:val="clear" w:color="auto" w:fill="2E74B5" w:themeFill="accent1" w:themeFillShade="BF"/>
          </w:tcPr>
          <w:p w14:paraId="508E2460" w14:textId="68AC9D78" w:rsidR="003D7C2E" w:rsidRPr="007E750E" w:rsidRDefault="00FA084D" w:rsidP="007E750E">
            <w:pPr>
              <w:contextualSpacing/>
              <w:jc w:val="both"/>
              <w:rPr>
                <w:rFonts w:asciiTheme="majorHAnsi" w:hAnsiTheme="majorHAnsi" w:cstheme="majorHAnsi"/>
                <w:b/>
                <w:bCs/>
                <w:i/>
                <w:iCs/>
                <w:color w:val="FFFFFF" w:themeColor="background1"/>
                <w:sz w:val="24"/>
                <w:szCs w:val="24"/>
              </w:rPr>
            </w:pPr>
            <w:r w:rsidRPr="007E750E">
              <w:rPr>
                <w:rFonts w:asciiTheme="majorHAnsi" w:hAnsiTheme="majorHAnsi" w:cstheme="majorHAnsi"/>
                <w:b/>
                <w:bCs/>
                <w:color w:val="FFFFFF" w:themeColor="background1"/>
                <w:sz w:val="24"/>
                <w:szCs w:val="24"/>
              </w:rPr>
              <w:t>Five Key Findings</w:t>
            </w:r>
            <w:r w:rsidR="007E750E" w:rsidRPr="007E750E">
              <w:rPr>
                <w:rFonts w:asciiTheme="majorHAnsi" w:hAnsiTheme="majorHAnsi" w:cstheme="majorHAnsi"/>
                <w:b/>
                <w:bCs/>
                <w:color w:val="FFFFFF" w:themeColor="background1"/>
                <w:sz w:val="24"/>
                <w:szCs w:val="24"/>
              </w:rPr>
              <w:t xml:space="preserve"> Related to Your Practice –</w:t>
            </w:r>
            <w:r w:rsidR="007E750E"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6A971966" w14:textId="77777777" w:rsidTr="000F4E6E">
        <w:tc>
          <w:tcPr>
            <w:tcW w:w="11347" w:type="dxa"/>
          </w:tcPr>
          <w:p w14:paraId="7E3C6347" w14:textId="36F6DD9B" w:rsidR="00CD0B58" w:rsidRPr="00896603" w:rsidRDefault="00CD0B58" w:rsidP="00CD0B58">
            <w:pPr>
              <w:ind w:left="720"/>
              <w:rPr>
                <w:rFonts w:asciiTheme="majorHAnsi" w:hAnsiTheme="majorHAnsi" w:cstheme="majorHAnsi"/>
                <w:b/>
                <w:bCs/>
              </w:rPr>
            </w:pPr>
          </w:p>
          <w:p w14:paraId="20BEFDCA" w14:textId="74D406BF" w:rsidR="00CD0B58" w:rsidRDefault="00CD0B58" w:rsidP="00CD0B58">
            <w:pPr>
              <w:pStyle w:val="ListParagraph"/>
              <w:numPr>
                <w:ilvl w:val="0"/>
                <w:numId w:val="25"/>
              </w:numPr>
              <w:rPr>
                <w:rFonts w:cstheme="minorHAnsi"/>
              </w:rPr>
            </w:pPr>
            <w:r w:rsidRPr="00CD0B58">
              <w:rPr>
                <w:rFonts w:cstheme="minorHAnsi"/>
              </w:rPr>
              <w:t xml:space="preserve">Evidence-based assessment tools improve accuracy. I can select validated instruments to ensure reliable data for planning instruction. </w:t>
            </w:r>
          </w:p>
          <w:p w14:paraId="44D4A441" w14:textId="77777777" w:rsidR="00CD0B58" w:rsidRPr="00CD0B58" w:rsidRDefault="00CD0B58" w:rsidP="00CD0B58">
            <w:pPr>
              <w:pStyle w:val="ListParagraph"/>
              <w:rPr>
                <w:rFonts w:cstheme="minorHAnsi"/>
              </w:rPr>
            </w:pPr>
          </w:p>
          <w:p w14:paraId="5A1AED65" w14:textId="760C61E9" w:rsidR="00CD0B58" w:rsidRDefault="00CD0B58" w:rsidP="00CD0B58">
            <w:pPr>
              <w:pStyle w:val="ListParagraph"/>
              <w:numPr>
                <w:ilvl w:val="0"/>
                <w:numId w:val="25"/>
              </w:numPr>
              <w:rPr>
                <w:rFonts w:cstheme="minorHAnsi"/>
              </w:rPr>
            </w:pPr>
            <w:r w:rsidRPr="00CD0B58">
              <w:rPr>
                <w:rFonts w:cstheme="minorHAnsi"/>
              </w:rPr>
              <w:t xml:space="preserve">Understanding diagnostic criteria guides individualized instruction. Knowing ASD symptoms and co-occurring conditions helps me target supports effectively. </w:t>
            </w:r>
          </w:p>
          <w:p w14:paraId="3247017C" w14:textId="77777777" w:rsidR="00CD0B58" w:rsidRPr="00CD0B58" w:rsidRDefault="00CD0B58" w:rsidP="00CD0B58">
            <w:pPr>
              <w:rPr>
                <w:rFonts w:cstheme="minorHAnsi"/>
              </w:rPr>
            </w:pPr>
          </w:p>
          <w:p w14:paraId="08BF37B6" w14:textId="77777777" w:rsidR="00CD0B58" w:rsidRDefault="00CD0B58" w:rsidP="00CD0B58">
            <w:pPr>
              <w:pStyle w:val="ListParagraph"/>
              <w:numPr>
                <w:ilvl w:val="0"/>
                <w:numId w:val="25"/>
              </w:numPr>
              <w:rPr>
                <w:rFonts w:cstheme="minorHAnsi"/>
              </w:rPr>
            </w:pPr>
            <w:r w:rsidRPr="00CD0B58">
              <w:rPr>
                <w:rFonts w:cstheme="minorHAnsi"/>
              </w:rPr>
              <w:t xml:space="preserve">Screening and early identification are critical. I can use assessment results early to provide timely interventions that maximize learning outcomes. </w:t>
            </w:r>
          </w:p>
          <w:p w14:paraId="6281C6D9" w14:textId="77777777" w:rsidR="00CD0B58" w:rsidRPr="00CD0B58" w:rsidRDefault="00CD0B58" w:rsidP="00CD0B58">
            <w:pPr>
              <w:rPr>
                <w:rFonts w:cstheme="minorHAnsi"/>
              </w:rPr>
            </w:pPr>
          </w:p>
          <w:p w14:paraId="5BD52B53" w14:textId="77777777" w:rsidR="00CD0B58" w:rsidRDefault="00CD0B58" w:rsidP="00CD0B58">
            <w:pPr>
              <w:pStyle w:val="ListParagraph"/>
              <w:numPr>
                <w:ilvl w:val="0"/>
                <w:numId w:val="25"/>
              </w:numPr>
              <w:rPr>
                <w:rFonts w:cstheme="minorHAnsi"/>
              </w:rPr>
            </w:pPr>
            <w:r w:rsidRPr="00CD0B58">
              <w:rPr>
                <w:rFonts w:cstheme="minorHAnsi"/>
              </w:rPr>
              <w:t xml:space="preserve">Multi-method approaches strengthen evaluation. Combining observation, interviews, and standardized tools gives a complete view of student needs. </w:t>
            </w:r>
          </w:p>
          <w:p w14:paraId="09031DC9" w14:textId="77777777" w:rsidR="00CD0B58" w:rsidRPr="00CD0B58" w:rsidRDefault="00CD0B58" w:rsidP="00CD0B58">
            <w:pPr>
              <w:rPr>
                <w:rFonts w:cstheme="minorHAnsi"/>
              </w:rPr>
            </w:pPr>
          </w:p>
          <w:p w14:paraId="0F988E48" w14:textId="441B0680" w:rsidR="00153B16" w:rsidRPr="00CD0B58" w:rsidRDefault="00CD0B58" w:rsidP="00CD0B58">
            <w:pPr>
              <w:pStyle w:val="ListParagraph"/>
              <w:numPr>
                <w:ilvl w:val="0"/>
                <w:numId w:val="25"/>
              </w:numPr>
              <w:rPr>
                <w:rFonts w:cstheme="minorHAnsi"/>
              </w:rPr>
            </w:pPr>
            <w:r w:rsidRPr="00CD0B58">
              <w:rPr>
                <w:rFonts w:cstheme="minorHAnsi"/>
              </w:rPr>
              <w:t>Ongoing assessment informs instructional decisions. I can revisit assessment results regularly to adjust supports and track progress.</w:t>
            </w:r>
          </w:p>
        </w:tc>
      </w:tr>
      <w:tr w:rsidR="003D7C2E" w:rsidRPr="008926A5" w14:paraId="43D81F15" w14:textId="77777777" w:rsidTr="000F4E6E">
        <w:tc>
          <w:tcPr>
            <w:tcW w:w="11347" w:type="dxa"/>
            <w:shd w:val="clear" w:color="auto" w:fill="1F4E79" w:themeFill="accent1" w:themeFillShade="80"/>
          </w:tcPr>
          <w:p w14:paraId="3C9BE620" w14:textId="6742657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TWO</w:t>
            </w:r>
          </w:p>
        </w:tc>
      </w:tr>
      <w:tr w:rsidR="003D7C2E" w:rsidRPr="008926A5" w14:paraId="3652B29E" w14:textId="77777777" w:rsidTr="000F4E6E">
        <w:tc>
          <w:tcPr>
            <w:tcW w:w="11347" w:type="dxa"/>
            <w:shd w:val="clear" w:color="auto" w:fill="2E74B5" w:themeFill="accent1" w:themeFillShade="BF"/>
          </w:tcPr>
          <w:p w14:paraId="4FE59A06" w14:textId="08C950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11601F53" w14:textId="77777777" w:rsidTr="000F4E6E">
        <w:tc>
          <w:tcPr>
            <w:tcW w:w="11347" w:type="dxa"/>
          </w:tcPr>
          <w:p w14:paraId="5133CD79" w14:textId="77777777" w:rsidR="006F7DF1" w:rsidRDefault="006F7DF1" w:rsidP="006F7DF1">
            <w:r>
              <w:t xml:space="preserve">Rajaraman, A., Austin, J. L., Gover, H. C., Cammilleri, A. P., Donnelly, D. R., &amp; Hanley, G. P. (2022). Toward </w:t>
            </w:r>
          </w:p>
          <w:p w14:paraId="00B97309" w14:textId="77777777" w:rsidR="006F7DF1" w:rsidRDefault="006F7DF1" w:rsidP="006F7DF1"/>
          <w:p w14:paraId="62F21103" w14:textId="18F62C01" w:rsidR="006F7DF1" w:rsidRPr="006F7DF1" w:rsidRDefault="006F7DF1" w:rsidP="006F7DF1">
            <w:pPr>
              <w:rPr>
                <w:rFonts w:ascii="Cambria Math" w:hAnsi="Cambria Math" w:cs="Cambria Math"/>
              </w:rPr>
            </w:pPr>
            <w:r>
              <w:t xml:space="preserve">     trauma</w:t>
            </w:r>
            <w:r>
              <w:rPr>
                <w:rFonts w:ascii="Cambria Math" w:hAnsi="Cambria Math" w:cs="Cambria Math"/>
              </w:rPr>
              <w:t>‐</w:t>
            </w:r>
            <w:r>
              <w:t xml:space="preserve">informed applications of behavior analysis. </w:t>
            </w:r>
            <w:r>
              <w:rPr>
                <w:i/>
                <w:iCs/>
              </w:rPr>
              <w:t>Journal of Applied Behavior Analysis</w:t>
            </w:r>
            <w:r>
              <w:t xml:space="preserve">, </w:t>
            </w:r>
            <w:r>
              <w:rPr>
                <w:i/>
                <w:iCs/>
              </w:rPr>
              <w:t>55</w:t>
            </w:r>
            <w:r>
              <w:t xml:space="preserve">(1), 40–61. </w:t>
            </w:r>
          </w:p>
          <w:p w14:paraId="7F989DBB" w14:textId="77777777" w:rsidR="006F7DF1" w:rsidRDefault="006F7DF1" w:rsidP="006F7DF1"/>
          <w:p w14:paraId="7B2F48A7" w14:textId="30D637DC" w:rsidR="006F7DF1" w:rsidRPr="006F7DF1" w:rsidRDefault="006F7DF1" w:rsidP="006F7DF1">
            <w:r>
              <w:t xml:space="preserve">     https://doi.org/10.1002/jaba.881</w:t>
            </w:r>
          </w:p>
          <w:p w14:paraId="0604528D" w14:textId="72FAE881" w:rsidR="008A0B63" w:rsidRPr="008926A5" w:rsidRDefault="008A0B63" w:rsidP="008A0B63">
            <w:pPr>
              <w:contextualSpacing/>
              <w:rPr>
                <w:rFonts w:asciiTheme="majorHAnsi" w:hAnsiTheme="majorHAnsi" w:cstheme="majorHAnsi"/>
                <w:sz w:val="24"/>
                <w:szCs w:val="24"/>
              </w:rPr>
            </w:pPr>
          </w:p>
          <w:p w14:paraId="671E52EC" w14:textId="3630FB0A" w:rsidR="003D7C2E" w:rsidRPr="008926A5" w:rsidRDefault="003D7C2E" w:rsidP="007E750E">
            <w:pPr>
              <w:contextualSpacing/>
              <w:rPr>
                <w:rFonts w:asciiTheme="majorHAnsi" w:hAnsiTheme="majorHAnsi" w:cstheme="majorHAnsi"/>
                <w:sz w:val="24"/>
                <w:szCs w:val="24"/>
              </w:rPr>
            </w:pPr>
          </w:p>
        </w:tc>
      </w:tr>
      <w:tr w:rsidR="003D7C2E" w:rsidRPr="008926A5" w14:paraId="7BC97BF7" w14:textId="77777777" w:rsidTr="000F4E6E">
        <w:tc>
          <w:tcPr>
            <w:tcW w:w="11347" w:type="dxa"/>
            <w:shd w:val="clear" w:color="auto" w:fill="2E74B5" w:themeFill="accent1" w:themeFillShade="BF"/>
          </w:tcPr>
          <w:p w14:paraId="6A3E86E2" w14:textId="2E23B3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34079CFF" w14:textId="77777777" w:rsidTr="000F4E6E">
        <w:tc>
          <w:tcPr>
            <w:tcW w:w="11347" w:type="dxa"/>
          </w:tcPr>
          <w:p w14:paraId="1FE51FF4" w14:textId="26A87183" w:rsidR="006F7DF1" w:rsidRPr="006F7DF1" w:rsidRDefault="006F7DF1" w:rsidP="007E750E">
            <w:pPr>
              <w:contextualSpacing/>
              <w:rPr>
                <w:rFonts w:asciiTheme="minorHAnsi" w:hAnsiTheme="minorHAnsi" w:cstheme="minorHAnsi"/>
              </w:rPr>
            </w:pPr>
            <w:hyperlink r:id="rId9" w:history="1">
              <w:r w:rsidRPr="006F7DF1">
                <w:rPr>
                  <w:rStyle w:val="Hyperlink"/>
                  <w:rFonts w:asciiTheme="minorHAnsi" w:hAnsiTheme="minorHAnsi" w:cstheme="minorHAnsi"/>
                </w:rPr>
                <w:t>https://kuprimo.hosted.exlibrisgroup.com/permalink/f/1ik10ij/TN_cdi_crossref_citationtrail_10_1002_jaba_881</w:t>
              </w:r>
            </w:hyperlink>
            <w:r w:rsidRPr="006F7DF1">
              <w:rPr>
                <w:rFonts w:asciiTheme="minorHAnsi" w:hAnsiTheme="minorHAnsi" w:cstheme="minorHAnsi"/>
              </w:rPr>
              <w:t xml:space="preserve"> </w:t>
            </w:r>
          </w:p>
        </w:tc>
      </w:tr>
      <w:tr w:rsidR="003D7C2E" w:rsidRPr="006F7DF1" w14:paraId="44A7CA65" w14:textId="77777777" w:rsidTr="000F4E6E">
        <w:tc>
          <w:tcPr>
            <w:tcW w:w="11347" w:type="dxa"/>
            <w:shd w:val="clear" w:color="auto" w:fill="2E74B5" w:themeFill="accent1" w:themeFillShade="BF"/>
          </w:tcPr>
          <w:p w14:paraId="6C319180" w14:textId="2AABCD8A" w:rsidR="003D7C2E" w:rsidRPr="006F7DF1" w:rsidRDefault="003D7C2E" w:rsidP="007E750E">
            <w:pPr>
              <w:contextualSpacing/>
              <w:rPr>
                <w:rFonts w:asciiTheme="minorHAnsi" w:hAnsiTheme="minorHAnsi" w:cstheme="minorHAnsi"/>
              </w:rPr>
            </w:pPr>
            <w:r w:rsidRPr="006F7DF1">
              <w:rPr>
                <w:rFonts w:asciiTheme="minorHAnsi" w:hAnsiTheme="minorHAnsi" w:cstheme="minorHAnsi"/>
                <w:color w:val="FFFFFF" w:themeColor="background1"/>
              </w:rPr>
              <w:t>Associated Competency</w:t>
            </w:r>
          </w:p>
        </w:tc>
      </w:tr>
      <w:tr w:rsidR="003D7C2E" w:rsidRPr="006F7DF1" w14:paraId="5C98C76D" w14:textId="77777777" w:rsidTr="000F4E6E">
        <w:tc>
          <w:tcPr>
            <w:tcW w:w="11347" w:type="dxa"/>
          </w:tcPr>
          <w:p w14:paraId="18966476" w14:textId="7406EA86" w:rsidR="003D7C2E" w:rsidRPr="006F7DF1" w:rsidRDefault="006F7DF1" w:rsidP="006F7DF1">
            <w:pPr>
              <w:shd w:val="clear" w:color="auto" w:fill="FFFFFF"/>
              <w:spacing w:before="100" w:beforeAutospacing="1" w:after="100" w:afterAutospacing="1"/>
              <w:rPr>
                <w:rFonts w:asciiTheme="minorHAnsi" w:hAnsiTheme="minorHAnsi" w:cstheme="minorHAnsi"/>
                <w:color w:val="2D3B45"/>
              </w:rPr>
            </w:pPr>
            <w:r w:rsidRPr="006F7DF1">
              <w:rPr>
                <w:rStyle w:val="Strong"/>
                <w:rFonts w:asciiTheme="minorHAnsi" w:hAnsiTheme="minorHAnsi" w:cstheme="minorHAnsi"/>
                <w:b w:val="0"/>
                <w:bCs w:val="0"/>
                <w:color w:val="2D3B45"/>
              </w:rPr>
              <w:t>D</w:t>
            </w:r>
            <w:r w:rsidRPr="006F7DF1">
              <w:rPr>
                <w:rStyle w:val="Strong"/>
                <w:rFonts w:asciiTheme="minorHAnsi" w:hAnsiTheme="minorHAnsi" w:cstheme="minorHAnsi"/>
                <w:b w:val="0"/>
                <w:bCs w:val="0"/>
              </w:rPr>
              <w:t xml:space="preserve">omain </w:t>
            </w:r>
            <w:r w:rsidRPr="006F7DF1">
              <w:rPr>
                <w:rStyle w:val="Strong"/>
                <w:rFonts w:asciiTheme="minorHAnsi" w:hAnsiTheme="minorHAnsi" w:cstheme="minorHAnsi"/>
                <w:b w:val="0"/>
                <w:bCs w:val="0"/>
                <w:color w:val="2D3B45"/>
              </w:rPr>
              <w:t>3.8:</w:t>
            </w:r>
            <w:r w:rsidRPr="006F7DF1">
              <w:rPr>
                <w:rFonts w:asciiTheme="minorHAnsi" w:hAnsiTheme="minorHAnsi" w:cstheme="minorHAnsi"/>
                <w:color w:val="2D3B45"/>
              </w:rPr>
              <w:t> Conduct functional behavior assessments that lead to the development of behavior support plans.</w:t>
            </w:r>
          </w:p>
        </w:tc>
      </w:tr>
      <w:tr w:rsidR="003D7C2E" w:rsidRPr="008926A5" w14:paraId="4E1CF9A0" w14:textId="77777777" w:rsidTr="000F4E6E">
        <w:tc>
          <w:tcPr>
            <w:tcW w:w="11347" w:type="dxa"/>
            <w:shd w:val="clear" w:color="auto" w:fill="2E74B5" w:themeFill="accent1" w:themeFillShade="BF"/>
          </w:tcPr>
          <w:p w14:paraId="42B8FF0A" w14:textId="535BBE55" w:rsidR="003D7C2E" w:rsidRPr="006F7DF1" w:rsidRDefault="002F371F" w:rsidP="007E750E">
            <w:pPr>
              <w:contextualSpacing/>
              <w:rPr>
                <w:rFonts w:asciiTheme="minorHAnsi" w:hAnsiTheme="minorHAnsi" w:cstheme="minorHAnsi"/>
              </w:rPr>
            </w:pPr>
            <w:r w:rsidRPr="006F7DF1">
              <w:rPr>
                <w:rFonts w:asciiTheme="minorHAnsi" w:hAnsiTheme="minorHAnsi" w:cstheme="minorHAnsi"/>
                <w:b/>
                <w:bCs/>
                <w:color w:val="FFFFFF" w:themeColor="background1"/>
              </w:rPr>
              <w:t>Rationale (explain connection to above competency)</w:t>
            </w:r>
          </w:p>
        </w:tc>
      </w:tr>
      <w:tr w:rsidR="003D7C2E" w:rsidRPr="008926A5" w14:paraId="4863CA42" w14:textId="77777777" w:rsidTr="000F4E6E">
        <w:tc>
          <w:tcPr>
            <w:tcW w:w="11347" w:type="dxa"/>
          </w:tcPr>
          <w:p w14:paraId="7E7067FA" w14:textId="77777777" w:rsidR="006F7DF1" w:rsidRDefault="00CD0B58" w:rsidP="008F3290">
            <w:pPr>
              <w:pStyle w:val="NormalWeb"/>
              <w:rPr>
                <w:rFonts w:asciiTheme="minorHAnsi" w:hAnsiTheme="minorHAnsi" w:cstheme="minorHAnsi"/>
                <w:sz w:val="22"/>
                <w:szCs w:val="22"/>
              </w:rPr>
            </w:pPr>
            <w:r w:rsidRPr="00CD0B58">
              <w:rPr>
                <w:rFonts w:asciiTheme="minorHAnsi" w:hAnsiTheme="minorHAnsi" w:cstheme="minorHAnsi"/>
                <w:sz w:val="22"/>
                <w:szCs w:val="22"/>
              </w:rPr>
              <w:t>This article aligns with Domain 3.8 because it highlights the importance of considering trauma in functional behavior assessments (FBA) and behavior support planning. In an inclusive classroom, understanding the impact of trauma helps me interpret behaviors accurately, develop effective interventions, and provide supports that respect each student’s experiences. The article reinforces my practice of integrating context, history, and individualized considerations into behavior assessment to create effective and compassionate support plans.</w:t>
            </w:r>
          </w:p>
          <w:p w14:paraId="6DCF6508" w14:textId="236AA974" w:rsidR="00CD0B58" w:rsidRPr="006F7DF1" w:rsidRDefault="00CD0B58" w:rsidP="008F3290">
            <w:pPr>
              <w:pStyle w:val="NormalWeb"/>
              <w:rPr>
                <w:rFonts w:asciiTheme="minorHAnsi" w:hAnsiTheme="minorHAnsi" w:cstheme="minorHAnsi"/>
                <w:sz w:val="22"/>
                <w:szCs w:val="22"/>
              </w:rPr>
            </w:pPr>
          </w:p>
        </w:tc>
      </w:tr>
      <w:tr w:rsidR="003D7C2E" w:rsidRPr="008926A5" w14:paraId="081F4DFA" w14:textId="77777777" w:rsidTr="000F4E6E">
        <w:tc>
          <w:tcPr>
            <w:tcW w:w="11347" w:type="dxa"/>
            <w:shd w:val="clear" w:color="auto" w:fill="2E74B5" w:themeFill="accent1" w:themeFillShade="BF"/>
          </w:tcPr>
          <w:p w14:paraId="0BB05E53" w14:textId="41E3834E"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6B4C9F81" w14:textId="77777777" w:rsidTr="000F4E6E">
        <w:tc>
          <w:tcPr>
            <w:tcW w:w="11347" w:type="dxa"/>
          </w:tcPr>
          <w:p w14:paraId="4EE59E3A" w14:textId="77777777" w:rsidR="006F7DF1" w:rsidRDefault="00CD0B58" w:rsidP="007E750E">
            <w:pPr>
              <w:contextualSpacing/>
            </w:pPr>
            <w:r>
              <w:t>The purpose of this article is to examine barriers to incorporating trauma-informed care into applied behavior analysis (ABA) and suggest strategies for integrating trauma-sensitive practices into assessment and intervention. It highlights opportunities for research and practice that improve behavioral supports while respecting student experiences.</w:t>
            </w:r>
          </w:p>
          <w:p w14:paraId="5FD436F1" w14:textId="6613E20D" w:rsidR="00CD0B58" w:rsidRPr="00E61E89" w:rsidRDefault="00CD0B58" w:rsidP="007E750E">
            <w:pPr>
              <w:contextualSpacing/>
              <w:rPr>
                <w:rFonts w:asciiTheme="minorHAnsi" w:hAnsiTheme="minorHAnsi" w:cstheme="minorHAnsi"/>
              </w:rPr>
            </w:pPr>
          </w:p>
        </w:tc>
      </w:tr>
      <w:tr w:rsidR="003D7C2E" w:rsidRPr="008926A5" w14:paraId="520F71DF" w14:textId="77777777" w:rsidTr="000F4E6E">
        <w:tc>
          <w:tcPr>
            <w:tcW w:w="11347" w:type="dxa"/>
            <w:shd w:val="clear" w:color="auto" w:fill="2E74B5" w:themeFill="accent1" w:themeFillShade="BF"/>
          </w:tcPr>
          <w:p w14:paraId="2FFE83B5" w14:textId="630643BC" w:rsidR="003D7C2E" w:rsidRPr="00E61E89" w:rsidRDefault="007E750E" w:rsidP="007E750E">
            <w:pPr>
              <w:contextualSpacing/>
              <w:rPr>
                <w:rFonts w:asciiTheme="majorHAnsi" w:hAnsiTheme="majorHAnsi" w:cstheme="majorHAnsi"/>
              </w:rPr>
            </w:pPr>
            <w:r w:rsidRPr="00E61E89">
              <w:rPr>
                <w:rFonts w:asciiTheme="majorHAnsi" w:hAnsiTheme="majorHAnsi" w:cstheme="majorHAnsi"/>
                <w:b/>
                <w:bCs/>
                <w:color w:val="FFFFFF" w:themeColor="background1"/>
              </w:rPr>
              <w:t>Five Key Findings Related to Your Practice –</w:t>
            </w:r>
            <w:r w:rsidRPr="00E61E89">
              <w:rPr>
                <w:rFonts w:asciiTheme="majorHAnsi" w:hAnsiTheme="majorHAnsi" w:cstheme="majorHAnsi"/>
                <w:b/>
                <w:bCs/>
                <w:i/>
                <w:iCs/>
                <w:color w:val="FFFFFF" w:themeColor="background1"/>
              </w:rPr>
              <w:t xml:space="preserve"> How might you apply the results in your setting?</w:t>
            </w:r>
          </w:p>
        </w:tc>
      </w:tr>
      <w:tr w:rsidR="003D7C2E" w:rsidRPr="008926A5" w14:paraId="1E815B70" w14:textId="77777777" w:rsidTr="000F4E6E">
        <w:tc>
          <w:tcPr>
            <w:tcW w:w="11347" w:type="dxa"/>
          </w:tcPr>
          <w:p w14:paraId="3779C8A4" w14:textId="0A63EDA6" w:rsidR="00E83DA0" w:rsidRPr="00B40EB0" w:rsidRDefault="00E83DA0" w:rsidP="00B40EB0">
            <w:pPr>
              <w:pStyle w:val="ListParagraph"/>
              <w:numPr>
                <w:ilvl w:val="0"/>
                <w:numId w:val="25"/>
              </w:numPr>
              <w:ind w:left="692" w:hanging="270"/>
              <w:rPr>
                <w:rFonts w:cstheme="minorHAnsi"/>
              </w:rPr>
            </w:pPr>
            <w:r w:rsidRPr="00B40EB0">
              <w:rPr>
                <w:rFonts w:cstheme="minorHAnsi"/>
              </w:rPr>
              <w:t xml:space="preserve">Trauma can significantly impact student behavior. Considering a student’s trauma history helps ensure behavior assessments capture the true function of behaviors. </w:t>
            </w:r>
          </w:p>
          <w:p w14:paraId="56131172" w14:textId="0C0220CD" w:rsidR="00E83DA0" w:rsidRPr="00B40EB0" w:rsidRDefault="00E83DA0" w:rsidP="00B40EB0">
            <w:pPr>
              <w:pStyle w:val="ListParagraph"/>
              <w:numPr>
                <w:ilvl w:val="0"/>
                <w:numId w:val="25"/>
              </w:numPr>
              <w:ind w:left="692" w:hanging="270"/>
              <w:rPr>
                <w:rFonts w:cstheme="minorHAnsi"/>
              </w:rPr>
            </w:pPr>
            <w:r w:rsidRPr="00B40EB0">
              <w:rPr>
                <w:rFonts w:cstheme="minorHAnsi"/>
              </w:rPr>
              <w:t xml:space="preserve">Incorporating trauma-informed principles into functional behavior assessments strengthens their effectiveness. </w:t>
            </w:r>
            <w:r w:rsidRPr="00B40EB0">
              <w:rPr>
                <w:rFonts w:cstheme="minorHAnsi"/>
              </w:rPr>
              <w:lastRenderedPageBreak/>
              <w:t xml:space="preserve">I can use sensitive, individualized approaches to make assessments more accurate and supportive. </w:t>
            </w:r>
          </w:p>
          <w:p w14:paraId="7676FBB7" w14:textId="77777777" w:rsidR="00E83DA0" w:rsidRPr="00E83DA0" w:rsidRDefault="00E83DA0" w:rsidP="00B40EB0">
            <w:pPr>
              <w:ind w:left="692" w:hanging="270"/>
              <w:rPr>
                <w:rFonts w:asciiTheme="minorHAnsi" w:hAnsiTheme="minorHAnsi" w:cstheme="minorHAnsi"/>
              </w:rPr>
            </w:pPr>
          </w:p>
          <w:p w14:paraId="34912266" w14:textId="6659F3A4" w:rsidR="00E83DA0" w:rsidRPr="00B40EB0" w:rsidRDefault="00E83DA0" w:rsidP="00B40EB0">
            <w:pPr>
              <w:pStyle w:val="ListParagraph"/>
              <w:numPr>
                <w:ilvl w:val="0"/>
                <w:numId w:val="25"/>
              </w:numPr>
              <w:ind w:left="692" w:hanging="270"/>
              <w:rPr>
                <w:rFonts w:cstheme="minorHAnsi"/>
              </w:rPr>
            </w:pPr>
            <w:r w:rsidRPr="00B40EB0">
              <w:rPr>
                <w:rFonts w:cstheme="minorHAnsi"/>
              </w:rPr>
              <w:t xml:space="preserve">Context matters when developing interventions. Adapting behavior support plans to the unique environmental and emotional needs of students increases the likelihood of positive outcomes. </w:t>
            </w:r>
          </w:p>
          <w:p w14:paraId="146DEA3B" w14:textId="77777777" w:rsidR="00E83DA0" w:rsidRPr="00E83DA0" w:rsidRDefault="00E83DA0" w:rsidP="00B40EB0">
            <w:pPr>
              <w:ind w:left="692" w:hanging="270"/>
              <w:rPr>
                <w:rFonts w:asciiTheme="minorHAnsi" w:hAnsiTheme="minorHAnsi" w:cstheme="minorHAnsi"/>
              </w:rPr>
            </w:pPr>
          </w:p>
          <w:p w14:paraId="17AEB0BD" w14:textId="1DC7F018" w:rsidR="00E83DA0" w:rsidRPr="00B40EB0" w:rsidRDefault="00E83DA0" w:rsidP="00B40EB0">
            <w:pPr>
              <w:pStyle w:val="ListParagraph"/>
              <w:numPr>
                <w:ilvl w:val="0"/>
                <w:numId w:val="28"/>
              </w:numPr>
              <w:ind w:left="692" w:hanging="270"/>
              <w:rPr>
                <w:rFonts w:cstheme="minorHAnsi"/>
              </w:rPr>
            </w:pPr>
            <w:r w:rsidRPr="00B40EB0">
              <w:rPr>
                <w:rFonts w:cstheme="minorHAnsi"/>
              </w:rPr>
              <w:t>Collaboration with families and specialists enhances consistency and effectiveness. Engaging multiple stakeholders ensures behavior strategies are reinforced across settings.</w:t>
            </w:r>
          </w:p>
          <w:p w14:paraId="69A4C2CA" w14:textId="77777777" w:rsidR="00E83DA0" w:rsidRPr="00E83DA0" w:rsidRDefault="00E83DA0" w:rsidP="00B40EB0">
            <w:pPr>
              <w:ind w:left="692" w:hanging="270"/>
              <w:rPr>
                <w:rFonts w:asciiTheme="minorHAnsi" w:hAnsiTheme="minorHAnsi" w:cstheme="minorHAnsi"/>
              </w:rPr>
            </w:pPr>
          </w:p>
          <w:p w14:paraId="7E6FB50B" w14:textId="6A4FEFC8" w:rsidR="00E61E89" w:rsidRPr="00E83DA0" w:rsidRDefault="00E83DA0" w:rsidP="00B40EB0">
            <w:pPr>
              <w:pStyle w:val="ListParagraph"/>
              <w:numPr>
                <w:ilvl w:val="0"/>
                <w:numId w:val="28"/>
              </w:numPr>
              <w:ind w:left="692" w:hanging="270"/>
              <w:rPr>
                <w:rFonts w:cstheme="minorHAnsi"/>
              </w:rPr>
            </w:pPr>
            <w:r w:rsidRPr="00E83DA0">
              <w:rPr>
                <w:rFonts w:cstheme="minorHAnsi"/>
              </w:rPr>
              <w:t>Ethical considerations are critical in assessment and intervention. I can ensure student safety, privacy, and dignity while designing and implementing behavior support plans.</w:t>
            </w:r>
          </w:p>
        </w:tc>
      </w:tr>
      <w:tr w:rsidR="003D7C2E" w:rsidRPr="008926A5" w14:paraId="3EB79574" w14:textId="77777777" w:rsidTr="000F4E6E">
        <w:tc>
          <w:tcPr>
            <w:tcW w:w="11347" w:type="dxa"/>
            <w:shd w:val="clear" w:color="auto" w:fill="1F4E79" w:themeFill="accent1" w:themeFillShade="80"/>
          </w:tcPr>
          <w:p w14:paraId="1723426A" w14:textId="546E355D" w:rsidR="003D7C2E" w:rsidRPr="00E83DA0" w:rsidRDefault="003D7C2E" w:rsidP="007E750E">
            <w:pPr>
              <w:contextualSpacing/>
              <w:jc w:val="right"/>
              <w:rPr>
                <w:rFonts w:asciiTheme="minorHAnsi" w:hAnsiTheme="minorHAnsi" w:cstheme="minorHAnsi"/>
                <w:sz w:val="24"/>
                <w:szCs w:val="24"/>
              </w:rPr>
            </w:pPr>
            <w:r w:rsidRPr="00E83DA0">
              <w:rPr>
                <w:rStyle w:val="Strong"/>
                <w:rFonts w:asciiTheme="minorHAnsi" w:hAnsiTheme="minorHAnsi" w:cstheme="minorHAnsi"/>
                <w:color w:val="FFFFFF" w:themeColor="background1"/>
                <w:sz w:val="24"/>
                <w:szCs w:val="24"/>
              </w:rPr>
              <w:lastRenderedPageBreak/>
              <w:t>Article THREE</w:t>
            </w:r>
          </w:p>
        </w:tc>
      </w:tr>
      <w:tr w:rsidR="003D7C2E" w:rsidRPr="008926A5" w14:paraId="65B6CA52" w14:textId="77777777" w:rsidTr="000F4E6E">
        <w:tc>
          <w:tcPr>
            <w:tcW w:w="11347" w:type="dxa"/>
            <w:shd w:val="clear" w:color="auto" w:fill="2E74B5" w:themeFill="accent1" w:themeFillShade="BF"/>
          </w:tcPr>
          <w:p w14:paraId="6459D7C0" w14:textId="34679BF7" w:rsidR="003D7C2E" w:rsidRPr="00E83DA0" w:rsidRDefault="003D7C2E"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APA Citation (3–5-year timeframe)</w:t>
            </w:r>
          </w:p>
        </w:tc>
      </w:tr>
      <w:tr w:rsidR="003D7C2E" w:rsidRPr="008926A5" w14:paraId="2793A322" w14:textId="77777777" w:rsidTr="000F4E6E">
        <w:tc>
          <w:tcPr>
            <w:tcW w:w="11347" w:type="dxa"/>
          </w:tcPr>
          <w:p w14:paraId="1C42B933" w14:textId="77777777" w:rsidR="00F600AF" w:rsidRPr="00E83DA0" w:rsidRDefault="00F600AF" w:rsidP="00F600AF">
            <w:pPr>
              <w:rPr>
                <w:rFonts w:asciiTheme="minorHAnsi" w:hAnsiTheme="minorHAnsi" w:cstheme="minorHAnsi"/>
              </w:rPr>
            </w:pPr>
            <w:proofErr w:type="spellStart"/>
            <w:r w:rsidRPr="00F600AF">
              <w:rPr>
                <w:rFonts w:asciiTheme="minorHAnsi" w:hAnsiTheme="minorHAnsi" w:cstheme="minorHAnsi"/>
              </w:rPr>
              <w:t>Vistorte</w:t>
            </w:r>
            <w:proofErr w:type="spellEnd"/>
            <w:r w:rsidRPr="00F600AF">
              <w:rPr>
                <w:rFonts w:asciiTheme="minorHAnsi" w:hAnsiTheme="minorHAnsi" w:cstheme="minorHAnsi"/>
              </w:rPr>
              <w:t xml:space="preserve">, A. O. R., </w:t>
            </w:r>
            <w:proofErr w:type="spellStart"/>
            <w:r w:rsidRPr="00F600AF">
              <w:rPr>
                <w:rFonts w:asciiTheme="minorHAnsi" w:hAnsiTheme="minorHAnsi" w:cstheme="minorHAnsi"/>
              </w:rPr>
              <w:t>Deroncele</w:t>
            </w:r>
            <w:proofErr w:type="spellEnd"/>
            <w:r w:rsidRPr="00F600AF">
              <w:rPr>
                <w:rFonts w:asciiTheme="minorHAnsi" w:hAnsiTheme="minorHAnsi" w:cstheme="minorHAnsi"/>
              </w:rPr>
              <w:t xml:space="preserve">-Acosta, A., Ayala, J. L. M., Barrasa, A., López-Granero, C., &amp; Martí-González, M. (2024). </w:t>
            </w:r>
          </w:p>
          <w:p w14:paraId="728FD8FA" w14:textId="77777777" w:rsidR="00F600AF" w:rsidRPr="00E83DA0" w:rsidRDefault="00F600AF" w:rsidP="00F600AF">
            <w:pPr>
              <w:rPr>
                <w:rFonts w:asciiTheme="minorHAnsi" w:hAnsiTheme="minorHAnsi" w:cstheme="minorHAnsi"/>
              </w:rPr>
            </w:pPr>
          </w:p>
          <w:p w14:paraId="70C1835A" w14:textId="77777777" w:rsidR="00F600AF" w:rsidRPr="00E83DA0" w:rsidRDefault="00F600AF" w:rsidP="00F600AF">
            <w:pPr>
              <w:rPr>
                <w:rFonts w:asciiTheme="minorHAnsi" w:hAnsiTheme="minorHAnsi" w:cstheme="minorHAnsi"/>
              </w:rPr>
            </w:pPr>
            <w:r w:rsidRPr="00E83DA0">
              <w:rPr>
                <w:rFonts w:asciiTheme="minorHAnsi" w:hAnsiTheme="minorHAnsi" w:cstheme="minorHAnsi"/>
              </w:rPr>
              <w:t xml:space="preserve">     </w:t>
            </w:r>
            <w:r w:rsidRPr="00F600AF">
              <w:rPr>
                <w:rFonts w:asciiTheme="minorHAnsi" w:hAnsiTheme="minorHAnsi" w:cstheme="minorHAnsi"/>
              </w:rPr>
              <w:t xml:space="preserve">Integrating artificial intelligence to assess emotions in learning environments: A systematic literature review. </w:t>
            </w:r>
          </w:p>
          <w:p w14:paraId="054A6B64" w14:textId="77777777" w:rsidR="00F600AF" w:rsidRPr="00E83DA0" w:rsidRDefault="00F600AF" w:rsidP="00F600AF">
            <w:pPr>
              <w:rPr>
                <w:rFonts w:asciiTheme="minorHAnsi" w:hAnsiTheme="minorHAnsi" w:cstheme="minorHAnsi"/>
              </w:rPr>
            </w:pPr>
          </w:p>
          <w:p w14:paraId="161202DA" w14:textId="0729A27C" w:rsidR="00F600AF" w:rsidRPr="00F600AF" w:rsidRDefault="00F600AF" w:rsidP="00F600AF">
            <w:pPr>
              <w:rPr>
                <w:rFonts w:asciiTheme="minorHAnsi" w:hAnsiTheme="minorHAnsi" w:cstheme="minorHAnsi"/>
              </w:rPr>
            </w:pPr>
            <w:r w:rsidRPr="00E83DA0">
              <w:rPr>
                <w:rFonts w:asciiTheme="minorHAnsi" w:hAnsiTheme="minorHAnsi" w:cstheme="minorHAnsi"/>
              </w:rPr>
              <w:t xml:space="preserve">     </w:t>
            </w:r>
            <w:r w:rsidRPr="00F600AF">
              <w:rPr>
                <w:rFonts w:asciiTheme="minorHAnsi" w:hAnsiTheme="minorHAnsi" w:cstheme="minorHAnsi"/>
                <w:i/>
                <w:iCs/>
              </w:rPr>
              <w:t>Frontiers in Psychology, 15</w:t>
            </w:r>
            <w:r w:rsidRPr="00F600AF">
              <w:rPr>
                <w:rFonts w:asciiTheme="minorHAnsi" w:hAnsiTheme="minorHAnsi" w:cstheme="minorHAnsi"/>
              </w:rPr>
              <w:t xml:space="preserve">, 1387089. </w:t>
            </w:r>
            <w:hyperlink r:id="rId10" w:tgtFrame="_new" w:history="1">
              <w:r w:rsidRPr="00F600AF">
                <w:rPr>
                  <w:rStyle w:val="Hyperlink"/>
                  <w:rFonts w:asciiTheme="minorHAnsi" w:hAnsiTheme="minorHAnsi" w:cstheme="minorHAnsi"/>
                </w:rPr>
                <w:t>https://doi.org/10.3389/fpsyg.2024.1387089</w:t>
              </w:r>
            </w:hyperlink>
          </w:p>
          <w:p w14:paraId="397A6579" w14:textId="77777777" w:rsidR="003D7C2E" w:rsidRPr="00E83DA0" w:rsidRDefault="003D7C2E" w:rsidP="007E750E">
            <w:pPr>
              <w:contextualSpacing/>
              <w:rPr>
                <w:rFonts w:asciiTheme="minorHAnsi" w:hAnsiTheme="minorHAnsi" w:cstheme="minorHAnsi"/>
                <w:sz w:val="24"/>
                <w:szCs w:val="24"/>
              </w:rPr>
            </w:pPr>
          </w:p>
        </w:tc>
      </w:tr>
      <w:tr w:rsidR="003D7C2E" w:rsidRPr="008926A5" w14:paraId="4DBE916D" w14:textId="77777777" w:rsidTr="000F4E6E">
        <w:tc>
          <w:tcPr>
            <w:tcW w:w="11347" w:type="dxa"/>
            <w:shd w:val="clear" w:color="auto" w:fill="2E74B5" w:themeFill="accent1" w:themeFillShade="BF"/>
          </w:tcPr>
          <w:p w14:paraId="46127926" w14:textId="4043A6C2" w:rsidR="003D7C2E" w:rsidRPr="00E83DA0" w:rsidRDefault="003D7C2E"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Permalink from the KU Library</w:t>
            </w:r>
          </w:p>
        </w:tc>
      </w:tr>
      <w:tr w:rsidR="003D7C2E" w:rsidRPr="008926A5" w14:paraId="562BD43E" w14:textId="77777777" w:rsidTr="000F4E6E">
        <w:tc>
          <w:tcPr>
            <w:tcW w:w="11347" w:type="dxa"/>
          </w:tcPr>
          <w:p w14:paraId="371906EF" w14:textId="3585CDDD" w:rsidR="006F7DF1" w:rsidRPr="00E83DA0" w:rsidRDefault="006F7DF1" w:rsidP="000F4E6E">
            <w:pPr>
              <w:spacing w:line="630" w:lineRule="atLeast"/>
              <w:outlineLvl w:val="0"/>
              <w:rPr>
                <w:rFonts w:asciiTheme="minorHAnsi" w:hAnsiTheme="minorHAnsi" w:cstheme="minorHAnsi"/>
              </w:rPr>
            </w:pPr>
            <w:hyperlink r:id="rId11" w:history="1">
              <w:r w:rsidRPr="00E83DA0">
                <w:rPr>
                  <w:rStyle w:val="Hyperlink"/>
                  <w:rFonts w:asciiTheme="minorHAnsi" w:hAnsiTheme="minorHAnsi" w:cstheme="minorHAnsi"/>
                </w:rPr>
                <w:t>https://kuprimo.hosted.exlibrisgroup.com/permalink/f/1ik10ij/TN_cdi_crossref_primary_10_3389_fpsyg_2024_1387089</w:t>
              </w:r>
            </w:hyperlink>
            <w:r w:rsidRPr="00E83DA0">
              <w:rPr>
                <w:rFonts w:asciiTheme="minorHAnsi" w:hAnsiTheme="minorHAnsi" w:cstheme="minorHAnsi"/>
              </w:rPr>
              <w:t xml:space="preserve"> </w:t>
            </w:r>
          </w:p>
        </w:tc>
      </w:tr>
      <w:tr w:rsidR="003D7C2E" w:rsidRPr="008926A5" w14:paraId="0FD4CAF6" w14:textId="77777777" w:rsidTr="000F4E6E">
        <w:tc>
          <w:tcPr>
            <w:tcW w:w="11347" w:type="dxa"/>
            <w:shd w:val="clear" w:color="auto" w:fill="2E74B5" w:themeFill="accent1" w:themeFillShade="BF"/>
          </w:tcPr>
          <w:p w14:paraId="6BD2C4CD" w14:textId="6233B516" w:rsidR="003D7C2E" w:rsidRPr="00E83DA0" w:rsidRDefault="003D7C2E"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Associated Competency</w:t>
            </w:r>
          </w:p>
        </w:tc>
      </w:tr>
      <w:tr w:rsidR="003D7C2E" w:rsidRPr="008926A5" w14:paraId="4EF571A0" w14:textId="77777777" w:rsidTr="000F4E6E">
        <w:tc>
          <w:tcPr>
            <w:tcW w:w="11347" w:type="dxa"/>
          </w:tcPr>
          <w:p w14:paraId="150DD6C8" w14:textId="176918FB" w:rsidR="003D7C2E" w:rsidRPr="00E83DA0" w:rsidRDefault="00F600AF" w:rsidP="007E750E">
            <w:pPr>
              <w:contextualSpacing/>
              <w:rPr>
                <w:rFonts w:asciiTheme="minorHAnsi" w:hAnsiTheme="minorHAnsi" w:cstheme="minorHAnsi"/>
              </w:rPr>
            </w:pPr>
            <w:r w:rsidRPr="00E83DA0">
              <w:rPr>
                <w:rFonts w:asciiTheme="minorHAnsi" w:hAnsiTheme="minorHAnsi" w:cstheme="minorHAnsi"/>
              </w:rPr>
              <w:t xml:space="preserve">Domain 3.2: </w:t>
            </w:r>
            <w:r w:rsidRPr="00E83DA0">
              <w:rPr>
                <w:rFonts w:asciiTheme="minorHAnsi" w:hAnsiTheme="minorHAnsi" w:cstheme="minorHAnsi"/>
                <w:color w:val="2D3B45"/>
                <w:shd w:val="clear" w:color="auto" w:fill="FFFFFF"/>
              </w:rPr>
              <w:t>Ability to assess environmental conditions that promote maximum performance.</w:t>
            </w:r>
          </w:p>
        </w:tc>
      </w:tr>
      <w:tr w:rsidR="003D7C2E" w:rsidRPr="008926A5" w14:paraId="77B8328A" w14:textId="77777777" w:rsidTr="000F4E6E">
        <w:tc>
          <w:tcPr>
            <w:tcW w:w="11347" w:type="dxa"/>
            <w:shd w:val="clear" w:color="auto" w:fill="2E74B5" w:themeFill="accent1" w:themeFillShade="BF"/>
          </w:tcPr>
          <w:p w14:paraId="70BF58A2" w14:textId="3BEFD432" w:rsidR="003D7C2E" w:rsidRPr="00E83DA0" w:rsidRDefault="002F371F"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Rationale (explain connection to above competency)</w:t>
            </w:r>
          </w:p>
        </w:tc>
      </w:tr>
      <w:tr w:rsidR="003D7C2E" w:rsidRPr="008926A5" w14:paraId="17CDF4F6" w14:textId="77777777" w:rsidTr="000F4E6E">
        <w:tc>
          <w:tcPr>
            <w:tcW w:w="11347" w:type="dxa"/>
          </w:tcPr>
          <w:p w14:paraId="72B3AFC4" w14:textId="5D618AF5" w:rsidR="003D7C2E" w:rsidRPr="00E83DA0" w:rsidRDefault="00F600AF" w:rsidP="000F4E6E">
            <w:pPr>
              <w:pStyle w:val="NormalWeb"/>
              <w:rPr>
                <w:rFonts w:asciiTheme="minorHAnsi" w:hAnsiTheme="minorHAnsi" w:cstheme="minorHAnsi"/>
                <w:sz w:val="22"/>
                <w:szCs w:val="22"/>
              </w:rPr>
            </w:pPr>
            <w:r w:rsidRPr="00E83DA0">
              <w:rPr>
                <w:rFonts w:asciiTheme="minorHAnsi" w:hAnsiTheme="minorHAnsi" w:cstheme="minorHAnsi"/>
                <w:sz w:val="22"/>
                <w:szCs w:val="22"/>
              </w:rPr>
              <w:t>This article aligns with Domain 3.2: Ability to assess environmental conditions that promote maximum performance because it emphasizes how understanding students’ emotional states can guide the design of learning environments. In an inclusive classroom, observing and responding to emotions—through AI tools or careful monitoring</w:t>
            </w:r>
            <w:r w:rsidR="00E81849" w:rsidRPr="00E83DA0">
              <w:rPr>
                <w:rFonts w:asciiTheme="minorHAnsi" w:hAnsiTheme="minorHAnsi" w:cstheme="minorHAnsi"/>
                <w:sz w:val="22"/>
                <w:szCs w:val="22"/>
              </w:rPr>
              <w:t>—</w:t>
            </w:r>
            <w:r w:rsidRPr="00E83DA0">
              <w:rPr>
                <w:rFonts w:asciiTheme="minorHAnsi" w:hAnsiTheme="minorHAnsi" w:cstheme="minorHAnsi"/>
                <w:sz w:val="22"/>
                <w:szCs w:val="22"/>
              </w:rPr>
              <w:t>helps me identify environmental factors that support engagement, focus, and motivation. The findings reinforce my practice of using both data and observation to adjust classroom conditions, supports, and instructional strategies so that each learner can perform at their highest potential.</w:t>
            </w:r>
          </w:p>
          <w:p w14:paraId="3D8E5133" w14:textId="524F9AEE" w:rsidR="00F600AF" w:rsidRPr="00E83DA0" w:rsidRDefault="00F600AF" w:rsidP="000F4E6E">
            <w:pPr>
              <w:pStyle w:val="NormalWeb"/>
              <w:rPr>
                <w:rFonts w:asciiTheme="minorHAnsi" w:hAnsiTheme="minorHAnsi" w:cstheme="minorHAnsi"/>
                <w:sz w:val="22"/>
                <w:szCs w:val="22"/>
              </w:rPr>
            </w:pPr>
          </w:p>
        </w:tc>
      </w:tr>
      <w:tr w:rsidR="003D7C2E" w:rsidRPr="008926A5" w14:paraId="39B65E64" w14:textId="77777777" w:rsidTr="000F4E6E">
        <w:tc>
          <w:tcPr>
            <w:tcW w:w="11347" w:type="dxa"/>
            <w:shd w:val="clear" w:color="auto" w:fill="2E74B5" w:themeFill="accent1" w:themeFillShade="BF"/>
          </w:tcPr>
          <w:p w14:paraId="219DB1B0" w14:textId="68BC45EE" w:rsidR="003D7C2E" w:rsidRPr="00E83DA0" w:rsidRDefault="00FA084D" w:rsidP="007E750E">
            <w:pPr>
              <w:contextualSpacing/>
              <w:rPr>
                <w:rFonts w:asciiTheme="minorHAnsi" w:hAnsiTheme="minorHAnsi" w:cstheme="minorHAnsi"/>
              </w:rPr>
            </w:pPr>
            <w:r w:rsidRPr="00E83DA0">
              <w:rPr>
                <w:rFonts w:asciiTheme="minorHAnsi" w:hAnsiTheme="minorHAnsi" w:cstheme="minorHAnsi"/>
                <w:b/>
                <w:bCs/>
                <w:color w:val="FFFFFF" w:themeColor="background1"/>
              </w:rPr>
              <w:t>Article Purpose</w:t>
            </w:r>
          </w:p>
        </w:tc>
      </w:tr>
      <w:tr w:rsidR="003D7C2E" w:rsidRPr="008926A5" w14:paraId="08617833" w14:textId="77777777" w:rsidTr="000F4E6E">
        <w:trPr>
          <w:trHeight w:val="1459"/>
        </w:trPr>
        <w:tc>
          <w:tcPr>
            <w:tcW w:w="11347" w:type="dxa"/>
          </w:tcPr>
          <w:p w14:paraId="2ADD570E" w14:textId="174F4CD4" w:rsidR="003D7C2E" w:rsidRPr="00E83DA0" w:rsidRDefault="00F600AF" w:rsidP="007E750E">
            <w:pPr>
              <w:contextualSpacing/>
              <w:rPr>
                <w:rFonts w:asciiTheme="minorHAnsi" w:hAnsiTheme="minorHAnsi" w:cstheme="minorHAnsi"/>
              </w:rPr>
            </w:pPr>
            <w:r w:rsidRPr="00E83DA0">
              <w:rPr>
                <w:rFonts w:asciiTheme="minorHAnsi" w:hAnsiTheme="minorHAnsi" w:cstheme="minorHAnsi"/>
              </w:rPr>
              <w:lastRenderedPageBreak/>
              <w:t>The purpose of this systematic literature review is to explore how artificial intelligence (AI) is used to evaluate emotions in educational settings. The authors examine current research on tools like facial recognition, machine learning, and affective computing to capture emotional states and inform instructional design. The review highlights opportunities and challenges of integrating AI to create adaptive learning environments that enhance student engagement, motivation, and overall performance.</w:t>
            </w:r>
          </w:p>
        </w:tc>
      </w:tr>
      <w:tr w:rsidR="003D7C2E" w:rsidRPr="008926A5" w14:paraId="10DA4E6E" w14:textId="77777777" w:rsidTr="000F4E6E">
        <w:tc>
          <w:tcPr>
            <w:tcW w:w="11347" w:type="dxa"/>
            <w:shd w:val="clear" w:color="auto" w:fill="2E74B5" w:themeFill="accent1" w:themeFillShade="BF"/>
          </w:tcPr>
          <w:p w14:paraId="094400AB" w14:textId="68418277" w:rsidR="003D7C2E" w:rsidRPr="00E83DA0" w:rsidRDefault="007E750E"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 xml:space="preserve">Five Key Findings Related to Your Practice – </w:t>
            </w:r>
            <w:r w:rsidRPr="00E83DA0">
              <w:rPr>
                <w:rFonts w:asciiTheme="minorHAnsi" w:hAnsiTheme="minorHAnsi" w:cstheme="minorHAnsi"/>
                <w:b/>
                <w:bCs/>
                <w:i/>
                <w:iCs/>
                <w:color w:val="FFFFFF" w:themeColor="background1"/>
                <w:sz w:val="24"/>
                <w:szCs w:val="24"/>
              </w:rPr>
              <w:t>How might you apply the results in your setting?</w:t>
            </w:r>
          </w:p>
        </w:tc>
      </w:tr>
      <w:tr w:rsidR="003D7C2E" w:rsidRPr="008926A5" w14:paraId="6B49C798" w14:textId="77777777" w:rsidTr="000F4E6E">
        <w:tc>
          <w:tcPr>
            <w:tcW w:w="11347" w:type="dxa"/>
          </w:tcPr>
          <w:p w14:paraId="715B1C27" w14:textId="06F5B880" w:rsidR="00E83DA0" w:rsidRDefault="00E83DA0" w:rsidP="00E83DA0">
            <w:r>
              <w:rPr>
                <w:rFonts w:hAnsi="Symbol"/>
              </w:rPr>
              <w:t></w:t>
            </w:r>
            <w:r>
              <w:t xml:space="preserve"> Monitoring student emotions provides valuable insight for optimizing engagement. Observing affect can guide adjustments to instruction and classroom conditions to better support learning. </w:t>
            </w:r>
          </w:p>
          <w:p w14:paraId="0A609200" w14:textId="77777777" w:rsidR="00E83DA0" w:rsidRDefault="00E83DA0" w:rsidP="00E83DA0">
            <w:pPr>
              <w:rPr>
                <w:rFonts w:ascii="Times New Roman" w:hAnsi="Times New Roman" w:cs="Times New Roman"/>
              </w:rPr>
            </w:pPr>
          </w:p>
          <w:p w14:paraId="4F540113" w14:textId="60010F52" w:rsidR="00E83DA0" w:rsidRDefault="00E83DA0" w:rsidP="00E83DA0">
            <w:r>
              <w:rPr>
                <w:rFonts w:hAnsi="Symbol"/>
              </w:rPr>
              <w:t></w:t>
            </w:r>
            <w:r>
              <w:t xml:space="preserve"> Integrating technology into assessment can enhance understanding of learners’ emotional states. I can use AI-driven tools to identify patterns and inform responsive teaching strategies. </w:t>
            </w:r>
          </w:p>
          <w:p w14:paraId="32B0EE8F" w14:textId="77777777" w:rsidR="00E83DA0" w:rsidRDefault="00E83DA0" w:rsidP="00E83DA0"/>
          <w:p w14:paraId="64BA07F2" w14:textId="23B5A671" w:rsidR="00E83DA0" w:rsidRDefault="00E83DA0" w:rsidP="00E83DA0">
            <w:r>
              <w:rPr>
                <w:rFonts w:hAnsi="Symbol"/>
              </w:rPr>
              <w:t></w:t>
            </w:r>
            <w:r>
              <w:t xml:space="preserve"> Awareness of student feelings allows for more individualized and adaptive instruction. Recognizing emotional responses helps educators tailor supports, pacing, and expectations. </w:t>
            </w:r>
          </w:p>
          <w:p w14:paraId="0BE0BF06" w14:textId="77777777" w:rsidR="00E83DA0" w:rsidRDefault="00E83DA0" w:rsidP="00E83DA0"/>
          <w:p w14:paraId="4FCFCB25" w14:textId="0ABEF4E0" w:rsidR="00E83DA0" w:rsidRDefault="00E83DA0" w:rsidP="00E83DA0">
            <w:r>
              <w:rPr>
                <w:rFonts w:hAnsi="Symbol"/>
              </w:rPr>
              <w:t></w:t>
            </w:r>
            <w:r>
              <w:t xml:space="preserve"> Ethical practices are essential in collecting and applying emotional data. I can ensure privacy, fairness, and appropriate use of information when assessing and planning instruction. </w:t>
            </w:r>
          </w:p>
          <w:p w14:paraId="3603422B" w14:textId="77777777" w:rsidR="00E83DA0" w:rsidRDefault="00E83DA0" w:rsidP="00E83DA0"/>
          <w:p w14:paraId="64249A8C" w14:textId="5AC4F536" w:rsidR="003D7C2E" w:rsidRPr="00E83DA0" w:rsidRDefault="00E83DA0" w:rsidP="00E83DA0">
            <w:pPr>
              <w:contextualSpacing/>
              <w:rPr>
                <w:rFonts w:asciiTheme="minorHAnsi" w:hAnsiTheme="minorHAnsi" w:cstheme="minorHAnsi"/>
                <w:sz w:val="24"/>
                <w:szCs w:val="24"/>
              </w:rPr>
            </w:pPr>
            <w:r>
              <w:rPr>
                <w:rFonts w:hAnsi="Symbol"/>
              </w:rPr>
              <w:t></w:t>
            </w:r>
            <w:r>
              <w:t xml:space="preserve"> Adjusting environmental factors can significantly improve student performance. Modifications to seating, lighting, noise levels, or routines create conditions that maximize focus, engagement, and participation.</w:t>
            </w:r>
          </w:p>
        </w:tc>
      </w:tr>
      <w:tr w:rsidR="003D7C2E" w:rsidRPr="008926A5" w14:paraId="1505AFED" w14:textId="77777777" w:rsidTr="000F4E6E">
        <w:tc>
          <w:tcPr>
            <w:tcW w:w="11347" w:type="dxa"/>
            <w:shd w:val="clear" w:color="auto" w:fill="1F4E79" w:themeFill="accent1" w:themeFillShade="80"/>
          </w:tcPr>
          <w:p w14:paraId="6F867A10" w14:textId="343A9CCA" w:rsidR="003D7C2E" w:rsidRPr="00E83DA0" w:rsidRDefault="003D7C2E" w:rsidP="007E750E">
            <w:pPr>
              <w:contextualSpacing/>
              <w:jc w:val="right"/>
              <w:rPr>
                <w:rFonts w:asciiTheme="minorHAnsi" w:hAnsiTheme="minorHAnsi" w:cstheme="minorHAnsi"/>
                <w:sz w:val="24"/>
                <w:szCs w:val="24"/>
              </w:rPr>
            </w:pPr>
            <w:r w:rsidRPr="00E83DA0">
              <w:rPr>
                <w:rStyle w:val="Strong"/>
                <w:rFonts w:asciiTheme="minorHAnsi" w:hAnsiTheme="minorHAnsi" w:cstheme="minorHAnsi"/>
                <w:color w:val="FFFFFF" w:themeColor="background1"/>
                <w:sz w:val="24"/>
                <w:szCs w:val="24"/>
              </w:rPr>
              <w:t>Article FOUR</w:t>
            </w:r>
          </w:p>
        </w:tc>
      </w:tr>
      <w:tr w:rsidR="003D7C2E" w:rsidRPr="008926A5" w14:paraId="1C6D87AC" w14:textId="77777777" w:rsidTr="000F4E6E">
        <w:tc>
          <w:tcPr>
            <w:tcW w:w="11347" w:type="dxa"/>
            <w:shd w:val="clear" w:color="auto" w:fill="2E74B5" w:themeFill="accent1" w:themeFillShade="BF"/>
          </w:tcPr>
          <w:p w14:paraId="69772FB1" w14:textId="1A062CF9" w:rsidR="003D7C2E" w:rsidRPr="00E83DA0" w:rsidRDefault="003D7C2E"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APA Citation (3–5-year timeframe)</w:t>
            </w:r>
          </w:p>
        </w:tc>
      </w:tr>
      <w:tr w:rsidR="003D7C2E" w:rsidRPr="008926A5" w14:paraId="049E72DD" w14:textId="77777777" w:rsidTr="000F4E6E">
        <w:tc>
          <w:tcPr>
            <w:tcW w:w="11347" w:type="dxa"/>
          </w:tcPr>
          <w:p w14:paraId="6E0FDE29" w14:textId="77777777" w:rsidR="008F71C5" w:rsidRDefault="008F71C5" w:rsidP="008F71C5">
            <w:r>
              <w:t xml:space="preserve">Trigg, A. B., Keyes, A. W., Gray, S., Hatch, V., Brunet, K. T., &amp; Heller, S. S. (2026). The effects of early childhood </w:t>
            </w:r>
          </w:p>
          <w:p w14:paraId="0B5A15C8" w14:textId="77777777" w:rsidR="008F71C5" w:rsidRDefault="008F71C5" w:rsidP="008F71C5"/>
          <w:p w14:paraId="13681E5F" w14:textId="77777777" w:rsidR="008F71C5" w:rsidRDefault="008F71C5" w:rsidP="008F71C5">
            <w:r>
              <w:t xml:space="preserve">     mental health consultation on early childhood teachers’ perceptions of children’s challenging behaviors, expulsion </w:t>
            </w:r>
          </w:p>
          <w:p w14:paraId="72AB41F0" w14:textId="77777777" w:rsidR="008F71C5" w:rsidRDefault="008F71C5" w:rsidP="008F71C5"/>
          <w:p w14:paraId="18697E0F" w14:textId="2D8267B0" w:rsidR="008F71C5" w:rsidRDefault="008F71C5" w:rsidP="008F71C5">
            <w:r>
              <w:t xml:space="preserve">     risk, and the moderating role of teaching stress. </w:t>
            </w:r>
            <w:r>
              <w:rPr>
                <w:i/>
                <w:iCs/>
              </w:rPr>
              <w:t>Infant Mental Health Journal</w:t>
            </w:r>
            <w:r>
              <w:t xml:space="preserve">, </w:t>
            </w:r>
            <w:r>
              <w:rPr>
                <w:i/>
                <w:iCs/>
              </w:rPr>
              <w:t>47</w:t>
            </w:r>
            <w:r>
              <w:t xml:space="preserve">(3), e70079. </w:t>
            </w:r>
          </w:p>
          <w:p w14:paraId="367B2CBC" w14:textId="77777777" w:rsidR="008F71C5" w:rsidRDefault="008F71C5" w:rsidP="008F71C5"/>
          <w:p w14:paraId="7DFE1479" w14:textId="3CEF02C8" w:rsidR="008F71C5" w:rsidRDefault="008F71C5" w:rsidP="008F71C5">
            <w:pPr>
              <w:rPr>
                <w:rFonts w:ascii="Times New Roman" w:hAnsi="Times New Roman" w:cs="Times New Roman"/>
              </w:rPr>
            </w:pPr>
            <w:r>
              <w:t xml:space="preserve">     https://doi.org/10.1002/imhj.70079</w:t>
            </w:r>
          </w:p>
          <w:p w14:paraId="18FEDE2F" w14:textId="77777777" w:rsidR="003D7C2E" w:rsidRPr="00E83DA0" w:rsidRDefault="003D7C2E" w:rsidP="007E750E">
            <w:pPr>
              <w:contextualSpacing/>
              <w:rPr>
                <w:rFonts w:asciiTheme="minorHAnsi" w:hAnsiTheme="minorHAnsi" w:cstheme="minorHAnsi"/>
                <w:sz w:val="24"/>
                <w:szCs w:val="24"/>
              </w:rPr>
            </w:pPr>
          </w:p>
        </w:tc>
      </w:tr>
      <w:tr w:rsidR="003D7C2E" w:rsidRPr="008926A5" w14:paraId="1DFA3116" w14:textId="77777777" w:rsidTr="000F4E6E">
        <w:tc>
          <w:tcPr>
            <w:tcW w:w="11347" w:type="dxa"/>
            <w:shd w:val="clear" w:color="auto" w:fill="2E74B5" w:themeFill="accent1" w:themeFillShade="BF"/>
          </w:tcPr>
          <w:p w14:paraId="732999B2" w14:textId="3DDC9A8F" w:rsidR="003D7C2E" w:rsidRPr="00E83DA0" w:rsidRDefault="003D7C2E"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Permalink from the KU Library</w:t>
            </w:r>
          </w:p>
        </w:tc>
      </w:tr>
      <w:tr w:rsidR="003D7C2E" w:rsidRPr="008926A5" w14:paraId="2D003169" w14:textId="77777777" w:rsidTr="000F4E6E">
        <w:tc>
          <w:tcPr>
            <w:tcW w:w="11347" w:type="dxa"/>
          </w:tcPr>
          <w:p w14:paraId="1EFB628B" w14:textId="0859B097" w:rsidR="003D7C2E" w:rsidRPr="00E83DA0" w:rsidRDefault="00777BD6" w:rsidP="007E750E">
            <w:pPr>
              <w:contextualSpacing/>
              <w:rPr>
                <w:rFonts w:asciiTheme="minorHAnsi" w:hAnsiTheme="minorHAnsi" w:cstheme="minorHAnsi"/>
                <w:sz w:val="24"/>
                <w:szCs w:val="24"/>
              </w:rPr>
            </w:pPr>
            <w:hyperlink r:id="rId12" w:history="1">
              <w:r w:rsidRPr="00173012">
                <w:rPr>
                  <w:rStyle w:val="Hyperlink"/>
                  <w:rFonts w:asciiTheme="minorHAnsi" w:hAnsiTheme="minorHAnsi" w:cstheme="minorHAnsi"/>
                  <w:sz w:val="24"/>
                  <w:szCs w:val="24"/>
                </w:rPr>
                <w:t>https://kuprimo.hosted.exlibrisgroup.com/permalink/f/1ik10ij/TN_cdi_proquest_miscellaneous_3320762117</w:t>
              </w:r>
            </w:hyperlink>
            <w:r>
              <w:rPr>
                <w:rFonts w:asciiTheme="minorHAnsi" w:hAnsiTheme="minorHAnsi" w:cstheme="minorHAnsi"/>
                <w:sz w:val="24"/>
                <w:szCs w:val="24"/>
              </w:rPr>
              <w:t xml:space="preserve"> </w:t>
            </w:r>
          </w:p>
        </w:tc>
      </w:tr>
      <w:tr w:rsidR="003D7C2E" w:rsidRPr="008926A5" w14:paraId="255BF74F" w14:textId="77777777" w:rsidTr="000F4E6E">
        <w:tc>
          <w:tcPr>
            <w:tcW w:w="11347" w:type="dxa"/>
            <w:shd w:val="clear" w:color="auto" w:fill="2E74B5" w:themeFill="accent1" w:themeFillShade="BF"/>
          </w:tcPr>
          <w:p w14:paraId="367443DB" w14:textId="64F2B653" w:rsidR="003D7C2E" w:rsidRPr="00E83DA0" w:rsidRDefault="003D7C2E"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Associated Competency</w:t>
            </w:r>
          </w:p>
        </w:tc>
      </w:tr>
      <w:tr w:rsidR="003D7C2E" w:rsidRPr="008926A5" w14:paraId="4CCC9995" w14:textId="77777777" w:rsidTr="000F4E6E">
        <w:tc>
          <w:tcPr>
            <w:tcW w:w="11347" w:type="dxa"/>
          </w:tcPr>
          <w:p w14:paraId="2F95D7D2" w14:textId="77777777" w:rsidR="003D7C2E" w:rsidRDefault="008F71C5" w:rsidP="008F71C5">
            <w:pPr>
              <w:shd w:val="clear" w:color="auto" w:fill="FFFFFF"/>
              <w:spacing w:before="100" w:beforeAutospacing="1" w:after="100" w:afterAutospacing="1"/>
              <w:rPr>
                <w:rFonts w:asciiTheme="minorHAnsi" w:hAnsiTheme="minorHAnsi" w:cstheme="minorHAnsi"/>
                <w:color w:val="2D3B45"/>
              </w:rPr>
            </w:pPr>
            <w:r w:rsidRPr="008F71C5">
              <w:rPr>
                <w:rFonts w:asciiTheme="minorHAnsi" w:hAnsiTheme="minorHAnsi" w:cstheme="minorHAnsi"/>
              </w:rPr>
              <w:t xml:space="preserve">Domain </w:t>
            </w:r>
            <w:r w:rsidRPr="008F71C5">
              <w:rPr>
                <w:rStyle w:val="Strong"/>
                <w:rFonts w:asciiTheme="minorHAnsi" w:hAnsiTheme="minorHAnsi" w:cstheme="minorHAnsi"/>
                <w:b w:val="0"/>
                <w:bCs w:val="0"/>
                <w:color w:val="2D3B45"/>
              </w:rPr>
              <w:t>3.11</w:t>
            </w:r>
            <w:r w:rsidRPr="008F71C5">
              <w:rPr>
                <w:rFonts w:asciiTheme="minorHAnsi" w:hAnsiTheme="minorHAnsi" w:cstheme="minorHAnsi"/>
                <w:color w:val="2D3B45"/>
              </w:rPr>
              <w:t> Conduct functional behavioral assessments to determine what initiates and maintains a challenging or interfering behavior.</w:t>
            </w:r>
          </w:p>
          <w:p w14:paraId="203C8525" w14:textId="2BCF35DC" w:rsidR="008F71C5" w:rsidRPr="008F71C5" w:rsidRDefault="008F71C5" w:rsidP="008F71C5">
            <w:pPr>
              <w:shd w:val="clear" w:color="auto" w:fill="FFFFFF"/>
              <w:spacing w:before="100" w:beforeAutospacing="1" w:after="100" w:afterAutospacing="1"/>
              <w:rPr>
                <w:rFonts w:asciiTheme="minorHAnsi" w:hAnsiTheme="minorHAnsi" w:cstheme="minorHAnsi"/>
                <w:color w:val="2D3B45"/>
              </w:rPr>
            </w:pPr>
          </w:p>
        </w:tc>
      </w:tr>
      <w:tr w:rsidR="003D7C2E" w:rsidRPr="008926A5" w14:paraId="28020299" w14:textId="77777777" w:rsidTr="000F4E6E">
        <w:tc>
          <w:tcPr>
            <w:tcW w:w="11347" w:type="dxa"/>
            <w:shd w:val="clear" w:color="auto" w:fill="2E74B5" w:themeFill="accent1" w:themeFillShade="BF"/>
          </w:tcPr>
          <w:p w14:paraId="5FB46E8D" w14:textId="75A923F7" w:rsidR="003D7C2E" w:rsidRPr="00E83DA0" w:rsidRDefault="002F371F"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lastRenderedPageBreak/>
              <w:t>Rationale (explain connection to above competency)</w:t>
            </w:r>
          </w:p>
        </w:tc>
      </w:tr>
      <w:tr w:rsidR="003D7C2E" w:rsidRPr="008926A5" w14:paraId="167CC070" w14:textId="77777777" w:rsidTr="000F4E6E">
        <w:tc>
          <w:tcPr>
            <w:tcW w:w="11347" w:type="dxa"/>
          </w:tcPr>
          <w:p w14:paraId="25A06CDA" w14:textId="021CCE45" w:rsidR="003D7C2E" w:rsidRPr="00E83DA0" w:rsidRDefault="00DD7641" w:rsidP="007E750E">
            <w:pPr>
              <w:contextualSpacing/>
              <w:rPr>
                <w:rFonts w:asciiTheme="minorHAnsi" w:hAnsiTheme="minorHAnsi" w:cstheme="minorHAnsi"/>
                <w:sz w:val="24"/>
                <w:szCs w:val="24"/>
              </w:rPr>
            </w:pPr>
            <w:r>
              <w:t>This article aligns with Domain 3.11 because it emphasizes understanding the underlying factors that contribute to challenging behavior, including emotional, environmental, and relational influences. It highlights that behavior is not isolated, but shaped by stress, context, and support systems. In my practice, this reinforces the importance of looking beyond surface-level behaviors during a functional behavior assessment to better identify what is initiating and maintaining those behaviors, leading to more effective and appropriate interventions.</w:t>
            </w:r>
          </w:p>
        </w:tc>
      </w:tr>
      <w:tr w:rsidR="003D7C2E" w:rsidRPr="008926A5" w14:paraId="29748728" w14:textId="77777777" w:rsidTr="000F4E6E">
        <w:tc>
          <w:tcPr>
            <w:tcW w:w="11347" w:type="dxa"/>
            <w:shd w:val="clear" w:color="auto" w:fill="2E74B5" w:themeFill="accent1" w:themeFillShade="BF"/>
          </w:tcPr>
          <w:p w14:paraId="58CF72D0" w14:textId="3B8E0AB4" w:rsidR="003D7C2E" w:rsidRPr="00E83DA0" w:rsidRDefault="00FA084D" w:rsidP="007E750E">
            <w:pPr>
              <w:contextualSpacing/>
              <w:rPr>
                <w:rFonts w:asciiTheme="minorHAnsi" w:hAnsiTheme="minorHAnsi" w:cstheme="minorHAnsi"/>
                <w:sz w:val="24"/>
                <w:szCs w:val="24"/>
              </w:rPr>
            </w:pPr>
            <w:r w:rsidRPr="00E83DA0">
              <w:rPr>
                <w:rFonts w:asciiTheme="minorHAnsi" w:hAnsiTheme="minorHAnsi" w:cstheme="minorHAnsi"/>
                <w:b/>
                <w:bCs/>
                <w:color w:val="FFFFFF" w:themeColor="background1"/>
                <w:sz w:val="24"/>
                <w:szCs w:val="24"/>
              </w:rPr>
              <w:t>Article Purpose</w:t>
            </w:r>
          </w:p>
        </w:tc>
      </w:tr>
      <w:tr w:rsidR="003D7C2E" w:rsidRPr="008926A5" w14:paraId="57E0310A" w14:textId="77777777" w:rsidTr="000F4E6E">
        <w:tc>
          <w:tcPr>
            <w:tcW w:w="11347" w:type="dxa"/>
          </w:tcPr>
          <w:p w14:paraId="34B5829C" w14:textId="77777777" w:rsidR="00DD7641" w:rsidRPr="00DD7641" w:rsidRDefault="00DD7641" w:rsidP="00DD7641">
            <w:pPr>
              <w:contextualSpacing/>
            </w:pPr>
            <w:r w:rsidRPr="00DD7641">
              <w:t>The purpose of this article is to examine the effects of infant and early childhood mental health consultation (IECMHC) on teachers’ perceptions of student behavior, resilience, and the risk of exclusionary practices such as expulsion. It also explores how teacher stress influences these outcomes. This is important because it shows how additional supports and contextual factors impact both behavior and how behavior is understood and addressed.</w:t>
            </w:r>
          </w:p>
          <w:p w14:paraId="06892F17" w14:textId="441D5793" w:rsidR="003D7C2E" w:rsidRPr="008926A5" w:rsidRDefault="003D7C2E" w:rsidP="007E750E">
            <w:pPr>
              <w:contextualSpacing/>
              <w:rPr>
                <w:rFonts w:asciiTheme="majorHAnsi" w:hAnsiTheme="majorHAnsi" w:cstheme="majorHAnsi"/>
                <w:sz w:val="24"/>
                <w:szCs w:val="24"/>
              </w:rPr>
            </w:pPr>
          </w:p>
        </w:tc>
      </w:tr>
      <w:tr w:rsidR="003D7C2E" w:rsidRPr="008926A5" w14:paraId="36832AAC" w14:textId="77777777" w:rsidTr="000F4E6E">
        <w:tc>
          <w:tcPr>
            <w:tcW w:w="11347" w:type="dxa"/>
            <w:shd w:val="clear" w:color="auto" w:fill="2E74B5" w:themeFill="accent1" w:themeFillShade="BF"/>
          </w:tcPr>
          <w:p w14:paraId="2226687C" w14:textId="636E6D9D"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Five Key Findings Related to Your Practice –</w:t>
            </w:r>
            <w:r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312094FC" w14:textId="77777777" w:rsidTr="000F4E6E">
        <w:tc>
          <w:tcPr>
            <w:tcW w:w="11347" w:type="dxa"/>
          </w:tcPr>
          <w:p w14:paraId="56525837" w14:textId="77777777" w:rsidR="00DD7641" w:rsidRPr="00DD7641" w:rsidRDefault="00DD7641" w:rsidP="00DD7641">
            <w:pPr>
              <w:pStyle w:val="ListParagraph"/>
              <w:numPr>
                <w:ilvl w:val="0"/>
                <w:numId w:val="28"/>
              </w:numPr>
              <w:rPr>
                <w:rFonts w:ascii="Times New Roman" w:hAnsi="Times New Roman" w:cs="Times New Roman"/>
              </w:rPr>
            </w:pPr>
            <w:r>
              <w:t>Challenging behavior is influenced by multiple factors, including emotional needs and environmental conditions. Functional behavior assessments should consider these variables to accurately determine what is initiating behavior.</w:t>
            </w:r>
          </w:p>
          <w:p w14:paraId="5CCC5404" w14:textId="77777777" w:rsidR="00DD7641" w:rsidRDefault="00DD7641" w:rsidP="00DD7641">
            <w:pPr>
              <w:ind w:left="360"/>
              <w:contextualSpacing/>
            </w:pPr>
          </w:p>
          <w:p w14:paraId="0A27AE27" w14:textId="7ADCA007" w:rsidR="00DD7641" w:rsidRPr="00DD7641" w:rsidRDefault="00DD7641" w:rsidP="00DD7641">
            <w:pPr>
              <w:pStyle w:val="ListParagraph"/>
              <w:numPr>
                <w:ilvl w:val="0"/>
                <w:numId w:val="28"/>
              </w:numPr>
              <w:rPr>
                <w:rFonts w:ascii="Times New Roman" w:hAnsi="Times New Roman" w:cs="Times New Roman"/>
              </w:rPr>
            </w:pPr>
            <w:r>
              <w:t xml:space="preserve">Teacher perceptions and stress levels can impact how behavior is interpreted. I can be mindful of how adult responses may influence the identification of behavior functions. </w:t>
            </w:r>
          </w:p>
          <w:p w14:paraId="3F961F6D" w14:textId="77777777" w:rsidR="00DD7641" w:rsidRPr="00DD7641" w:rsidRDefault="00DD7641" w:rsidP="00DD7641">
            <w:pPr>
              <w:rPr>
                <w:rFonts w:ascii="Times New Roman" w:hAnsi="Times New Roman" w:cs="Times New Roman"/>
              </w:rPr>
            </w:pPr>
          </w:p>
          <w:p w14:paraId="3BFF7CF0" w14:textId="5D70DB5B" w:rsidR="00DD7641" w:rsidRDefault="00DD7641" w:rsidP="00DD7641">
            <w:pPr>
              <w:pStyle w:val="ListParagraph"/>
              <w:numPr>
                <w:ilvl w:val="0"/>
                <w:numId w:val="28"/>
              </w:numPr>
              <w:spacing w:before="100" w:beforeAutospacing="1" w:after="100" w:afterAutospacing="1"/>
            </w:pPr>
            <w:r>
              <w:t xml:space="preserve">Mental health consultation improves understanding of behavior. Collaborating with specialists can support more accurate assessment of what maintains challenging behaviors. </w:t>
            </w:r>
          </w:p>
          <w:p w14:paraId="2E83F083" w14:textId="77777777" w:rsidR="00DD7641" w:rsidRDefault="00DD7641" w:rsidP="00DD7641">
            <w:pPr>
              <w:pStyle w:val="ListParagraph"/>
            </w:pPr>
          </w:p>
          <w:p w14:paraId="62CB5B8C" w14:textId="77777777" w:rsidR="00DD7641" w:rsidRDefault="00DD7641" w:rsidP="00DD7641">
            <w:pPr>
              <w:pStyle w:val="ListParagraph"/>
              <w:spacing w:before="100" w:beforeAutospacing="1" w:after="100" w:afterAutospacing="1"/>
            </w:pPr>
          </w:p>
          <w:p w14:paraId="253407B3" w14:textId="1F2022A0" w:rsidR="00DD7641" w:rsidRDefault="00DD7641" w:rsidP="00DD7641">
            <w:pPr>
              <w:pStyle w:val="ListParagraph"/>
              <w:numPr>
                <w:ilvl w:val="0"/>
                <w:numId w:val="28"/>
              </w:numPr>
            </w:pPr>
            <w:r>
              <w:t xml:space="preserve">Addressing underlying needs reduces problem behavior. Interventions that focus on self-regulation and resilience are more effective than only targeting surface behaviors. </w:t>
            </w:r>
          </w:p>
          <w:p w14:paraId="1E9868FE" w14:textId="77777777" w:rsidR="00DD7641" w:rsidRDefault="00DD7641" w:rsidP="00DD7641">
            <w:pPr>
              <w:pStyle w:val="ListParagraph"/>
            </w:pPr>
          </w:p>
          <w:p w14:paraId="5818285B" w14:textId="77777777" w:rsidR="00DD7641" w:rsidRDefault="00DD7641" w:rsidP="00DD7641">
            <w:pPr>
              <w:pStyle w:val="ListParagraph"/>
              <w:numPr>
                <w:ilvl w:val="0"/>
                <w:numId w:val="28"/>
              </w:numPr>
              <w:spacing w:before="100" w:beforeAutospacing="1" w:after="100" w:afterAutospacing="1"/>
            </w:pPr>
            <w:r>
              <w:t xml:space="preserve">Reducing exclusionary practices requires better assessment and support. Using thorough and thoughtful FBAs can lead to interventions that keep students engaged in the learning environment. </w:t>
            </w:r>
          </w:p>
          <w:p w14:paraId="2DE7CFED" w14:textId="77777777" w:rsidR="003D7C2E" w:rsidRPr="008926A5" w:rsidRDefault="003D7C2E" w:rsidP="007E750E">
            <w:pPr>
              <w:contextualSpacing/>
              <w:rPr>
                <w:rFonts w:asciiTheme="majorHAnsi" w:hAnsiTheme="majorHAnsi" w:cstheme="majorHAnsi"/>
                <w:sz w:val="24"/>
                <w:szCs w:val="24"/>
              </w:rPr>
            </w:pPr>
          </w:p>
        </w:tc>
      </w:tr>
      <w:tr w:rsidR="003D7C2E" w:rsidRPr="008926A5" w14:paraId="617863C7" w14:textId="77777777" w:rsidTr="000F4E6E">
        <w:tc>
          <w:tcPr>
            <w:tcW w:w="11347" w:type="dxa"/>
            <w:shd w:val="clear" w:color="auto" w:fill="1F4E79" w:themeFill="accent1" w:themeFillShade="80"/>
          </w:tcPr>
          <w:p w14:paraId="709A1083" w14:textId="0518C6B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t>Article FIVE</w:t>
            </w:r>
          </w:p>
        </w:tc>
      </w:tr>
      <w:tr w:rsidR="003D7C2E" w:rsidRPr="008926A5" w14:paraId="3C0076A6" w14:textId="77777777" w:rsidTr="000F4E6E">
        <w:tc>
          <w:tcPr>
            <w:tcW w:w="11347" w:type="dxa"/>
            <w:shd w:val="clear" w:color="auto" w:fill="2E74B5" w:themeFill="accent1" w:themeFillShade="BF"/>
          </w:tcPr>
          <w:p w14:paraId="196E6AB6" w14:textId="2A9068A1"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759B844" w14:textId="77777777" w:rsidTr="000F4E6E">
        <w:tc>
          <w:tcPr>
            <w:tcW w:w="11347" w:type="dxa"/>
          </w:tcPr>
          <w:p w14:paraId="534E7450" w14:textId="77777777" w:rsidR="00E83DA0" w:rsidRDefault="00E83DA0" w:rsidP="00E83DA0">
            <w:r>
              <w:t xml:space="preserve">Poppen, M., Sheftel, A., Lindstrom, L. E., Rowe, D. A., Unruh, D., &amp; Mazzotti, V. L. (2024). Transition self-assessment </w:t>
            </w:r>
          </w:p>
          <w:p w14:paraId="072A1412" w14:textId="77777777" w:rsidR="00E83DA0" w:rsidRDefault="00E83DA0" w:rsidP="00E83DA0"/>
          <w:p w14:paraId="5B36708A" w14:textId="77777777" w:rsidR="00E83DA0" w:rsidRDefault="00E83DA0" w:rsidP="00E83DA0">
            <w:pPr>
              <w:rPr>
                <w:i/>
                <w:iCs/>
              </w:rPr>
            </w:pPr>
            <w:r>
              <w:t xml:space="preserve">     tool: The development and field testing of a statewide assessment of pre-employment transition services. </w:t>
            </w:r>
            <w:r>
              <w:rPr>
                <w:i/>
                <w:iCs/>
              </w:rPr>
              <w:t xml:space="preserve">Journal </w:t>
            </w:r>
          </w:p>
          <w:p w14:paraId="4DFDA6F5" w14:textId="77777777" w:rsidR="00E83DA0" w:rsidRDefault="00E83DA0" w:rsidP="00E83DA0">
            <w:pPr>
              <w:rPr>
                <w:i/>
                <w:iCs/>
              </w:rPr>
            </w:pPr>
          </w:p>
          <w:p w14:paraId="25668F43" w14:textId="5ECEC3D2" w:rsidR="00E83DA0" w:rsidRDefault="00E83DA0" w:rsidP="00E83DA0">
            <w:pPr>
              <w:rPr>
                <w:rFonts w:ascii="Times New Roman" w:hAnsi="Times New Roman" w:cs="Times New Roman"/>
              </w:rPr>
            </w:pPr>
            <w:r>
              <w:rPr>
                <w:i/>
                <w:iCs/>
              </w:rPr>
              <w:t xml:space="preserve">     of Vocational Rehabilitation</w:t>
            </w:r>
            <w:r>
              <w:t xml:space="preserve">, </w:t>
            </w:r>
            <w:r>
              <w:rPr>
                <w:i/>
                <w:iCs/>
              </w:rPr>
              <w:t>60</w:t>
            </w:r>
            <w:r>
              <w:t>(2), 175–184. https://doi.org/10.3233/JVR-240004</w:t>
            </w:r>
          </w:p>
          <w:p w14:paraId="0DB58270" w14:textId="77777777" w:rsidR="003D7C2E" w:rsidRPr="008926A5" w:rsidRDefault="003D7C2E" w:rsidP="007E750E">
            <w:pPr>
              <w:contextualSpacing/>
              <w:rPr>
                <w:rFonts w:asciiTheme="majorHAnsi" w:hAnsiTheme="majorHAnsi" w:cstheme="majorHAnsi"/>
                <w:sz w:val="24"/>
                <w:szCs w:val="24"/>
              </w:rPr>
            </w:pPr>
          </w:p>
        </w:tc>
      </w:tr>
      <w:tr w:rsidR="003D7C2E" w:rsidRPr="008926A5" w14:paraId="0A35601A" w14:textId="77777777" w:rsidTr="000F4E6E">
        <w:tc>
          <w:tcPr>
            <w:tcW w:w="11347" w:type="dxa"/>
            <w:shd w:val="clear" w:color="auto" w:fill="2E74B5" w:themeFill="accent1" w:themeFillShade="BF"/>
          </w:tcPr>
          <w:p w14:paraId="21CB2ACB" w14:textId="010AA928"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lastRenderedPageBreak/>
              <w:t>Permalink from the KU Library</w:t>
            </w:r>
          </w:p>
        </w:tc>
      </w:tr>
      <w:tr w:rsidR="003D7C2E" w:rsidRPr="008926A5" w14:paraId="59AEF6AC" w14:textId="77777777" w:rsidTr="000F4E6E">
        <w:tc>
          <w:tcPr>
            <w:tcW w:w="11347" w:type="dxa"/>
          </w:tcPr>
          <w:p w14:paraId="2101BED9" w14:textId="4E33F78A" w:rsidR="00E83DA0" w:rsidRPr="00777BD6" w:rsidRDefault="00E83DA0" w:rsidP="007E750E">
            <w:pPr>
              <w:contextualSpacing/>
              <w:rPr>
                <w:rFonts w:asciiTheme="minorHAnsi" w:hAnsiTheme="minorHAnsi" w:cstheme="minorHAnsi"/>
              </w:rPr>
            </w:pPr>
            <w:hyperlink r:id="rId13" w:history="1">
              <w:r w:rsidRPr="00777BD6">
                <w:rPr>
                  <w:rStyle w:val="Hyperlink"/>
                  <w:rFonts w:asciiTheme="minorHAnsi" w:hAnsiTheme="minorHAnsi" w:cstheme="minorHAnsi"/>
                </w:rPr>
                <w:t>https://kuprimo.hosted.exlibrisgroup.com/permalink/f/1ik10ij/TN_cdi_crossref_citationtrail_</w:t>
              </w:r>
            </w:hyperlink>
          </w:p>
          <w:p w14:paraId="72EBC344" w14:textId="277A7C5D" w:rsidR="003D7C2E" w:rsidRPr="00777BD6" w:rsidRDefault="00E83DA0" w:rsidP="007E750E">
            <w:pPr>
              <w:contextualSpacing/>
              <w:rPr>
                <w:rFonts w:asciiTheme="minorHAnsi" w:hAnsiTheme="minorHAnsi" w:cstheme="minorHAnsi"/>
              </w:rPr>
            </w:pPr>
            <w:r w:rsidRPr="00777BD6">
              <w:rPr>
                <w:rFonts w:asciiTheme="minorHAnsi" w:hAnsiTheme="minorHAnsi" w:cstheme="minorHAnsi"/>
              </w:rPr>
              <w:t>10_3233_JVR_240004</w:t>
            </w:r>
          </w:p>
        </w:tc>
      </w:tr>
      <w:tr w:rsidR="003D7C2E" w:rsidRPr="008926A5" w14:paraId="30B3FE63" w14:textId="77777777" w:rsidTr="000F4E6E">
        <w:tc>
          <w:tcPr>
            <w:tcW w:w="11347" w:type="dxa"/>
            <w:shd w:val="clear" w:color="auto" w:fill="2E74B5" w:themeFill="accent1" w:themeFillShade="BF"/>
          </w:tcPr>
          <w:p w14:paraId="53EFC70C" w14:textId="11080DA5" w:rsidR="003D7C2E" w:rsidRPr="00777BD6" w:rsidRDefault="003D7C2E" w:rsidP="007E750E">
            <w:pPr>
              <w:contextualSpacing/>
              <w:rPr>
                <w:rFonts w:asciiTheme="minorHAnsi" w:hAnsiTheme="minorHAnsi" w:cstheme="minorHAnsi"/>
              </w:rPr>
            </w:pPr>
            <w:r w:rsidRPr="00777BD6">
              <w:rPr>
                <w:rFonts w:asciiTheme="minorHAnsi" w:hAnsiTheme="minorHAnsi" w:cstheme="minorHAnsi"/>
                <w:b/>
                <w:bCs/>
                <w:color w:val="FFFFFF" w:themeColor="background1"/>
              </w:rPr>
              <w:t>Associated Competency</w:t>
            </w:r>
          </w:p>
        </w:tc>
      </w:tr>
      <w:tr w:rsidR="003D7C2E" w:rsidRPr="008926A5" w14:paraId="53A0ED48" w14:textId="77777777" w:rsidTr="000F4E6E">
        <w:tc>
          <w:tcPr>
            <w:tcW w:w="11347" w:type="dxa"/>
          </w:tcPr>
          <w:p w14:paraId="30A561AD" w14:textId="4B02EAA0" w:rsidR="003D7C2E" w:rsidRPr="00777BD6" w:rsidRDefault="00777BD6" w:rsidP="007E750E">
            <w:pPr>
              <w:contextualSpacing/>
              <w:rPr>
                <w:rFonts w:asciiTheme="minorHAnsi" w:hAnsiTheme="minorHAnsi" w:cstheme="minorHAnsi"/>
              </w:rPr>
            </w:pPr>
            <w:r w:rsidRPr="00777BD6">
              <w:rPr>
                <w:rFonts w:asciiTheme="minorHAnsi" w:hAnsiTheme="minorHAnsi" w:cstheme="minorHAnsi"/>
              </w:rPr>
              <w:t>Domain 3.6: Recognition of the need for comprehensive transition assessment, including identification of external agency assessment sharing.</w:t>
            </w:r>
          </w:p>
        </w:tc>
      </w:tr>
      <w:tr w:rsidR="003D7C2E" w:rsidRPr="008926A5" w14:paraId="33222169" w14:textId="77777777" w:rsidTr="000F4E6E">
        <w:tc>
          <w:tcPr>
            <w:tcW w:w="11347" w:type="dxa"/>
            <w:shd w:val="clear" w:color="auto" w:fill="2E74B5" w:themeFill="accent1" w:themeFillShade="BF"/>
          </w:tcPr>
          <w:p w14:paraId="430BB4C1" w14:textId="61A6D537"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2BEF641" w14:textId="77777777" w:rsidTr="000F4E6E">
        <w:tc>
          <w:tcPr>
            <w:tcW w:w="11347" w:type="dxa"/>
          </w:tcPr>
          <w:p w14:paraId="7F1E1762" w14:textId="177CB53B" w:rsidR="00777BD6" w:rsidRPr="00777BD6" w:rsidRDefault="00777BD6" w:rsidP="00777BD6">
            <w:pPr>
              <w:contextualSpacing/>
              <w:rPr>
                <w:rFonts w:asciiTheme="minorHAnsi" w:hAnsiTheme="minorHAnsi" w:cstheme="minorHAnsi"/>
              </w:rPr>
            </w:pPr>
            <w:r w:rsidRPr="00777BD6">
              <w:rPr>
                <w:rFonts w:asciiTheme="minorHAnsi" w:hAnsiTheme="minorHAnsi" w:cstheme="minorHAnsi"/>
              </w:rPr>
              <w:t xml:space="preserve">This article aligns with </w:t>
            </w:r>
            <w:r>
              <w:rPr>
                <w:rFonts w:asciiTheme="minorHAnsi" w:hAnsiTheme="minorHAnsi" w:cstheme="minorHAnsi"/>
              </w:rPr>
              <w:t>D</w:t>
            </w:r>
            <w:r w:rsidRPr="00777BD6">
              <w:rPr>
                <w:rFonts w:asciiTheme="minorHAnsi" w:hAnsiTheme="minorHAnsi" w:cstheme="minorHAnsi"/>
              </w:rPr>
              <w:t>omain 3.6: Recognition of the need for comprehensive transition assessment, including identification of external agency assessment sharing, as it highlights the importance of evaluating not only student needs, but also the availability, access, and coordination of transition services. It reinforces that effective transition assessment goes beyond the individual student and includes collaboration with outside agencies, such as vocational rehabilitation. This connects to my practice by emphasizing the need to consider multiple systems when planning for student transitions.</w:t>
            </w:r>
          </w:p>
          <w:p w14:paraId="2A5179EB" w14:textId="77777777" w:rsidR="003D7C2E" w:rsidRPr="008926A5" w:rsidRDefault="003D7C2E" w:rsidP="007E750E">
            <w:pPr>
              <w:contextualSpacing/>
              <w:rPr>
                <w:rFonts w:asciiTheme="majorHAnsi" w:hAnsiTheme="majorHAnsi" w:cstheme="majorHAnsi"/>
                <w:sz w:val="24"/>
                <w:szCs w:val="24"/>
              </w:rPr>
            </w:pPr>
          </w:p>
        </w:tc>
      </w:tr>
      <w:tr w:rsidR="003D7C2E" w:rsidRPr="008926A5" w14:paraId="58C5CF77" w14:textId="77777777" w:rsidTr="000F4E6E">
        <w:tc>
          <w:tcPr>
            <w:tcW w:w="11347" w:type="dxa"/>
            <w:shd w:val="clear" w:color="auto" w:fill="2E74B5" w:themeFill="accent1" w:themeFillShade="BF"/>
          </w:tcPr>
          <w:p w14:paraId="051A3091" w14:textId="5DCA39B8" w:rsidR="003D7C2E" w:rsidRPr="008926A5" w:rsidRDefault="00FA084D" w:rsidP="007E750E">
            <w:pPr>
              <w:contextualSpacing/>
              <w:rPr>
                <w:rFonts w:asciiTheme="majorHAnsi" w:hAnsiTheme="majorHAnsi" w:cstheme="majorHAnsi"/>
                <w:b/>
                <w:sz w:val="24"/>
                <w:szCs w:val="24"/>
              </w:rPr>
            </w:pPr>
            <w:r w:rsidRPr="008926A5">
              <w:rPr>
                <w:rFonts w:asciiTheme="majorHAnsi" w:hAnsiTheme="majorHAnsi" w:cstheme="majorHAnsi"/>
                <w:b/>
                <w:color w:val="FFFFFF" w:themeColor="background1"/>
                <w:sz w:val="24"/>
                <w:szCs w:val="24"/>
              </w:rPr>
              <w:t>Article Purpose</w:t>
            </w:r>
          </w:p>
        </w:tc>
      </w:tr>
      <w:tr w:rsidR="003D7C2E" w:rsidRPr="008926A5" w14:paraId="0F50A29F" w14:textId="77777777" w:rsidTr="000F4E6E">
        <w:tc>
          <w:tcPr>
            <w:tcW w:w="11347" w:type="dxa"/>
          </w:tcPr>
          <w:p w14:paraId="3262B1ED" w14:textId="7B8FF6EC" w:rsidR="003D7C2E" w:rsidRPr="008926A5" w:rsidRDefault="00777BD6" w:rsidP="007E750E">
            <w:pPr>
              <w:contextualSpacing/>
              <w:rPr>
                <w:rFonts w:asciiTheme="majorHAnsi" w:hAnsiTheme="majorHAnsi" w:cstheme="majorHAnsi"/>
                <w:sz w:val="24"/>
                <w:szCs w:val="24"/>
              </w:rPr>
            </w:pPr>
            <w:r>
              <w:t>The purpose of this article is to describe the development and field testing of the Transition Self-Assessment Tool (TSAT), a web-based tool designed to help vocational rehabilitation agencies evaluate and improve transition services. It focuses on measuring the availability, accessibility, and coordination of school-based transition supports. This is important because it shows how structured assessment tools can guide decision-making and improve outcomes for students with disabilities.</w:t>
            </w:r>
          </w:p>
        </w:tc>
      </w:tr>
      <w:tr w:rsidR="003D7C2E" w:rsidRPr="008926A5" w14:paraId="5E054BC7" w14:textId="77777777" w:rsidTr="000F4E6E">
        <w:tc>
          <w:tcPr>
            <w:tcW w:w="11347" w:type="dxa"/>
            <w:shd w:val="clear" w:color="auto" w:fill="2E74B5" w:themeFill="accent1" w:themeFillShade="BF"/>
          </w:tcPr>
          <w:p w14:paraId="52E60972" w14:textId="676823DF"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 xml:space="preserve">Five Key Findings Related to Your Practice – </w:t>
            </w:r>
            <w:r w:rsidRPr="007E750E">
              <w:rPr>
                <w:rFonts w:asciiTheme="majorHAnsi" w:hAnsiTheme="majorHAnsi" w:cstheme="majorHAnsi"/>
                <w:color w:val="FFFFFF" w:themeColor="background1"/>
                <w:sz w:val="24"/>
                <w:szCs w:val="24"/>
              </w:rPr>
              <w:t>How might you apply the results in your setting?</w:t>
            </w:r>
          </w:p>
        </w:tc>
      </w:tr>
      <w:tr w:rsidR="003D7C2E" w:rsidRPr="008926A5" w14:paraId="66476889" w14:textId="77777777" w:rsidTr="000F4E6E">
        <w:tc>
          <w:tcPr>
            <w:tcW w:w="11347" w:type="dxa"/>
          </w:tcPr>
          <w:p w14:paraId="71D4A57C" w14:textId="450722E2" w:rsidR="00777BD6" w:rsidRDefault="00777BD6" w:rsidP="00777BD6">
            <w:r>
              <w:rPr>
                <w:rFonts w:hAnsi="Symbol"/>
              </w:rPr>
              <w:t></w:t>
            </w:r>
            <w:r>
              <w:t xml:space="preserve"> Comprehensive transition assessment includes evaluating systems, not just individual students. Looking at service availability and access helps identify gaps in support. </w:t>
            </w:r>
          </w:p>
          <w:p w14:paraId="3CBF9D5D" w14:textId="77777777" w:rsidR="00777BD6" w:rsidRDefault="00777BD6" w:rsidP="00777BD6">
            <w:pPr>
              <w:rPr>
                <w:rFonts w:ascii="Times New Roman" w:hAnsi="Times New Roman" w:cs="Times New Roman"/>
              </w:rPr>
            </w:pPr>
          </w:p>
          <w:p w14:paraId="05DD6BA7" w14:textId="3DD20A26" w:rsidR="00777BD6" w:rsidRDefault="00777BD6" w:rsidP="00777BD6">
            <w:r>
              <w:rPr>
                <w:rFonts w:hAnsi="Symbol"/>
              </w:rPr>
              <w:t></w:t>
            </w:r>
            <w:r>
              <w:t xml:space="preserve"> Access to transition services is not always consistent. I can be more intentional in ensuring all eligible students are connected to appropriate transition supports. </w:t>
            </w:r>
          </w:p>
          <w:p w14:paraId="6A281DE8" w14:textId="77777777" w:rsidR="00777BD6" w:rsidRDefault="00777BD6" w:rsidP="00777BD6"/>
          <w:p w14:paraId="1A77A4D6" w14:textId="67EE4838" w:rsidR="00777BD6" w:rsidRDefault="00777BD6" w:rsidP="00777BD6">
            <w:r>
              <w:rPr>
                <w:rFonts w:hAnsi="Symbol"/>
              </w:rPr>
              <w:t></w:t>
            </w:r>
            <w:r>
              <w:t xml:space="preserve"> Coordination between schools and outside agencies is often limited. Strengthening collaboration with vocational rehabilitation and other agencies can improve continuity of services. </w:t>
            </w:r>
          </w:p>
          <w:p w14:paraId="2A9C3530" w14:textId="77777777" w:rsidR="00777BD6" w:rsidRDefault="00777BD6" w:rsidP="00777BD6"/>
          <w:p w14:paraId="7AFB5DEF" w14:textId="3B556D14" w:rsidR="00777BD6" w:rsidRDefault="00777BD6" w:rsidP="00777BD6">
            <w:r>
              <w:rPr>
                <w:rFonts w:hAnsi="Symbol"/>
              </w:rPr>
              <w:t></w:t>
            </w:r>
            <w:r>
              <w:t xml:space="preserve"> Structured assessment tools improve planning and decision-making. Using organized systems or checklists can help guide more effective transition planning. </w:t>
            </w:r>
          </w:p>
          <w:p w14:paraId="52D6C52C" w14:textId="77777777" w:rsidR="00777BD6" w:rsidRDefault="00777BD6" w:rsidP="00777BD6"/>
          <w:p w14:paraId="035B7295" w14:textId="57465ED9" w:rsidR="003D7C2E" w:rsidRPr="008926A5" w:rsidRDefault="00777BD6" w:rsidP="00777BD6">
            <w:pPr>
              <w:contextualSpacing/>
              <w:rPr>
                <w:rFonts w:asciiTheme="majorHAnsi" w:hAnsiTheme="majorHAnsi" w:cstheme="majorHAnsi"/>
                <w:sz w:val="24"/>
                <w:szCs w:val="24"/>
              </w:rPr>
            </w:pPr>
            <w:r>
              <w:rPr>
                <w:rFonts w:hAnsi="Symbol"/>
              </w:rPr>
              <w:t></w:t>
            </w:r>
            <w:r>
              <w:t xml:space="preserve"> Participation in coordinated transition programs improves outcomes. Schools that intentionally align services across systems provide more consistent and effective support for students.</w:t>
            </w:r>
          </w:p>
        </w:tc>
      </w:tr>
      <w:tr w:rsidR="003D7C2E" w:rsidRPr="008926A5" w14:paraId="606CB030" w14:textId="77777777" w:rsidTr="000F4E6E">
        <w:tc>
          <w:tcPr>
            <w:tcW w:w="11347" w:type="dxa"/>
            <w:shd w:val="clear" w:color="auto" w:fill="1F4E79" w:themeFill="accent1" w:themeFillShade="80"/>
          </w:tcPr>
          <w:p w14:paraId="262123F2" w14:textId="77777777" w:rsidR="003D7C2E" w:rsidRPr="008926A5" w:rsidRDefault="003D7C2E" w:rsidP="007E750E">
            <w:pPr>
              <w:contextualSpacing/>
              <w:rPr>
                <w:rFonts w:asciiTheme="majorHAnsi" w:hAnsiTheme="majorHAnsi" w:cstheme="majorHAnsi"/>
                <w:b/>
                <w:bCs/>
                <w:color w:val="FFFFFF" w:themeColor="background1"/>
                <w:sz w:val="24"/>
                <w:szCs w:val="24"/>
              </w:rPr>
            </w:pPr>
          </w:p>
        </w:tc>
      </w:tr>
    </w:tbl>
    <w:p w14:paraId="3D4BAC53" w14:textId="77777777" w:rsidR="00B47545" w:rsidRPr="008926A5" w:rsidRDefault="00B47545" w:rsidP="007E750E">
      <w:pPr>
        <w:spacing w:line="240" w:lineRule="auto"/>
        <w:contextualSpacing/>
        <w:rPr>
          <w:rFonts w:asciiTheme="majorHAnsi" w:hAnsiTheme="majorHAnsi" w:cstheme="majorHAnsi"/>
          <w:sz w:val="24"/>
          <w:szCs w:val="24"/>
        </w:rPr>
      </w:pPr>
    </w:p>
    <w:sectPr w:rsidR="00B47545" w:rsidRPr="008926A5" w:rsidSect="003D7C2E">
      <w:headerReference w:type="default" r:id="rId14"/>
      <w:footerReference w:type="default" r:id="rId15"/>
      <w:pgSz w:w="12240" w:h="15840"/>
      <w:pgMar w:top="1440" w:right="1440" w:bottom="144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EAA1" w14:textId="77777777" w:rsidR="0028685D" w:rsidRDefault="0028685D" w:rsidP="002A0533">
      <w:r>
        <w:separator/>
      </w:r>
    </w:p>
  </w:endnote>
  <w:endnote w:type="continuationSeparator" w:id="0">
    <w:p w14:paraId="7DA40C09" w14:textId="77777777" w:rsidR="0028685D" w:rsidRDefault="0028685D" w:rsidP="002A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2FB1" w14:textId="77777777" w:rsidR="00D70074" w:rsidRDefault="00D70074" w:rsidP="0061141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D0F2" w14:textId="77777777" w:rsidR="0028685D" w:rsidRDefault="0028685D" w:rsidP="002A0533">
      <w:r>
        <w:separator/>
      </w:r>
    </w:p>
  </w:footnote>
  <w:footnote w:type="continuationSeparator" w:id="0">
    <w:p w14:paraId="73C7B2E8" w14:textId="77777777" w:rsidR="0028685D" w:rsidRDefault="0028685D" w:rsidP="002A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DF3D" w14:textId="78456EEC" w:rsidR="000E2A1E" w:rsidRDefault="000E2A1E">
    <w:pPr>
      <w:pStyle w:val="Header"/>
    </w:pPr>
  </w:p>
  <w:p w14:paraId="1ABD4F85" w14:textId="6BA0577D" w:rsidR="000E2A1E" w:rsidRDefault="000E2A1E">
    <w:pPr>
      <w:pStyle w:val="Header"/>
    </w:pPr>
  </w:p>
  <w:p w14:paraId="01493CC4" w14:textId="71ACE379" w:rsidR="000E2A1E" w:rsidRDefault="000E2A1E">
    <w:pPr>
      <w:pStyle w:val="Header"/>
    </w:pPr>
  </w:p>
  <w:p w14:paraId="109F829C" w14:textId="52625E08" w:rsidR="000E2A1E" w:rsidRDefault="000E2A1E">
    <w:pPr>
      <w:pStyle w:val="Header"/>
    </w:pPr>
  </w:p>
  <w:p w14:paraId="2BAADD55" w14:textId="54F9BFF3" w:rsidR="000E2A1E" w:rsidRDefault="000E2A1E">
    <w:pPr>
      <w:pStyle w:val="Header"/>
    </w:pPr>
    <w:r>
      <w:rPr>
        <w:noProof/>
      </w:rPr>
      <w:drawing>
        <wp:inline distT="0" distB="0" distL="0" distR="0" wp14:anchorId="0C459E5A" wp14:editId="65D8AAB3">
          <wp:extent cx="2448560" cy="410845"/>
          <wp:effectExtent l="0" t="0" r="8890" b="8255"/>
          <wp:docPr id="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srcRect/>
                  <a:stretch>
                    <a:fillRect/>
                  </a:stretch>
                </pic:blipFill>
                <pic:spPr>
                  <a:xfrm>
                    <a:off x="0" y="0"/>
                    <a:ext cx="2448560" cy="4108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57C4"/>
    <w:multiLevelType w:val="hybridMultilevel"/>
    <w:tmpl w:val="13E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850F4"/>
    <w:multiLevelType w:val="hybridMultilevel"/>
    <w:tmpl w:val="F4400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0EC5"/>
    <w:multiLevelType w:val="hybridMultilevel"/>
    <w:tmpl w:val="7F0EA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194FA1"/>
    <w:multiLevelType w:val="hybridMultilevel"/>
    <w:tmpl w:val="573AB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70741"/>
    <w:multiLevelType w:val="hybridMultilevel"/>
    <w:tmpl w:val="A616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419A4"/>
    <w:multiLevelType w:val="hybridMultilevel"/>
    <w:tmpl w:val="DE32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8DF"/>
    <w:multiLevelType w:val="hybridMultilevel"/>
    <w:tmpl w:val="D37CF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32678"/>
    <w:multiLevelType w:val="hybridMultilevel"/>
    <w:tmpl w:val="CEF40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7F9B"/>
    <w:multiLevelType w:val="hybridMultilevel"/>
    <w:tmpl w:val="5B6E1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97A40"/>
    <w:multiLevelType w:val="hybridMultilevel"/>
    <w:tmpl w:val="A5C6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062DA"/>
    <w:multiLevelType w:val="hybridMultilevel"/>
    <w:tmpl w:val="25CE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62161"/>
    <w:multiLevelType w:val="hybridMultilevel"/>
    <w:tmpl w:val="799C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33DF9"/>
    <w:multiLevelType w:val="hybridMultilevel"/>
    <w:tmpl w:val="429A5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746D3"/>
    <w:multiLevelType w:val="hybridMultilevel"/>
    <w:tmpl w:val="B128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68E8"/>
    <w:multiLevelType w:val="multilevel"/>
    <w:tmpl w:val="A9E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963CB"/>
    <w:multiLevelType w:val="hybridMultilevel"/>
    <w:tmpl w:val="B11E6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81983"/>
    <w:multiLevelType w:val="multilevel"/>
    <w:tmpl w:val="C204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D19FB"/>
    <w:multiLevelType w:val="hybridMultilevel"/>
    <w:tmpl w:val="CD720D54"/>
    <w:lvl w:ilvl="0" w:tplc="D74E8B1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808DA"/>
    <w:multiLevelType w:val="multilevel"/>
    <w:tmpl w:val="7A3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B25B2"/>
    <w:multiLevelType w:val="hybridMultilevel"/>
    <w:tmpl w:val="2F9CB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25E8A"/>
    <w:multiLevelType w:val="hybridMultilevel"/>
    <w:tmpl w:val="395CC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D4739"/>
    <w:multiLevelType w:val="multilevel"/>
    <w:tmpl w:val="2120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81B23"/>
    <w:multiLevelType w:val="hybridMultilevel"/>
    <w:tmpl w:val="A53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D1C54"/>
    <w:multiLevelType w:val="hybridMultilevel"/>
    <w:tmpl w:val="EFA07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432473"/>
    <w:multiLevelType w:val="hybridMultilevel"/>
    <w:tmpl w:val="E302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3D328F"/>
    <w:multiLevelType w:val="hybridMultilevel"/>
    <w:tmpl w:val="85A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C6979"/>
    <w:multiLevelType w:val="multilevel"/>
    <w:tmpl w:val="2F4C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67F21"/>
    <w:multiLevelType w:val="hybridMultilevel"/>
    <w:tmpl w:val="B03C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40223"/>
    <w:multiLevelType w:val="hybridMultilevel"/>
    <w:tmpl w:val="EDB6019C"/>
    <w:lvl w:ilvl="0" w:tplc="B560C45A">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F12EA1"/>
    <w:multiLevelType w:val="hybridMultilevel"/>
    <w:tmpl w:val="01B4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67A10"/>
    <w:multiLevelType w:val="hybridMultilevel"/>
    <w:tmpl w:val="9BB64340"/>
    <w:lvl w:ilvl="0" w:tplc="D74E8B1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35954"/>
    <w:multiLevelType w:val="hybridMultilevel"/>
    <w:tmpl w:val="80A0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852538">
    <w:abstractNumId w:val="11"/>
  </w:num>
  <w:num w:numId="2" w16cid:durableId="1650205260">
    <w:abstractNumId w:val="26"/>
  </w:num>
  <w:num w:numId="3" w16cid:durableId="1946380903">
    <w:abstractNumId w:val="9"/>
  </w:num>
  <w:num w:numId="4" w16cid:durableId="1368096405">
    <w:abstractNumId w:val="1"/>
  </w:num>
  <w:num w:numId="5" w16cid:durableId="340476949">
    <w:abstractNumId w:val="20"/>
  </w:num>
  <w:num w:numId="6" w16cid:durableId="631058859">
    <w:abstractNumId w:val="16"/>
  </w:num>
  <w:num w:numId="7" w16cid:durableId="1362902028">
    <w:abstractNumId w:val="21"/>
  </w:num>
  <w:num w:numId="8" w16cid:durableId="1170869880">
    <w:abstractNumId w:val="8"/>
  </w:num>
  <w:num w:numId="9" w16cid:durableId="790587448">
    <w:abstractNumId w:val="7"/>
  </w:num>
  <w:num w:numId="10" w16cid:durableId="130834578">
    <w:abstractNumId w:val="13"/>
  </w:num>
  <w:num w:numId="11" w16cid:durableId="632516975">
    <w:abstractNumId w:val="2"/>
  </w:num>
  <w:num w:numId="12" w16cid:durableId="1828284005">
    <w:abstractNumId w:val="5"/>
  </w:num>
  <w:num w:numId="13" w16cid:durableId="223224653">
    <w:abstractNumId w:val="28"/>
  </w:num>
  <w:num w:numId="14" w16cid:durableId="203294141">
    <w:abstractNumId w:val="4"/>
  </w:num>
  <w:num w:numId="15" w16cid:durableId="2010785279">
    <w:abstractNumId w:val="30"/>
  </w:num>
  <w:num w:numId="16" w16cid:durableId="258223597">
    <w:abstractNumId w:val="12"/>
  </w:num>
  <w:num w:numId="17" w16cid:durableId="291137589">
    <w:abstractNumId w:val="27"/>
  </w:num>
  <w:num w:numId="18" w16cid:durableId="1480612410">
    <w:abstractNumId w:val="0"/>
  </w:num>
  <w:num w:numId="19" w16cid:durableId="57213994">
    <w:abstractNumId w:val="17"/>
  </w:num>
  <w:num w:numId="20" w16cid:durableId="2083288887">
    <w:abstractNumId w:val="23"/>
  </w:num>
  <w:num w:numId="21" w16cid:durableId="312032282">
    <w:abstractNumId w:val="31"/>
  </w:num>
  <w:num w:numId="22" w16cid:durableId="509681029">
    <w:abstractNumId w:val="18"/>
  </w:num>
  <w:num w:numId="23" w16cid:durableId="1732460084">
    <w:abstractNumId w:val="6"/>
  </w:num>
  <w:num w:numId="24" w16cid:durableId="145249050">
    <w:abstractNumId w:val="29"/>
  </w:num>
  <w:num w:numId="25" w16cid:durableId="892152945">
    <w:abstractNumId w:val="10"/>
  </w:num>
  <w:num w:numId="26" w16cid:durableId="573583825">
    <w:abstractNumId w:val="24"/>
  </w:num>
  <w:num w:numId="27" w16cid:durableId="1496530651">
    <w:abstractNumId w:val="3"/>
  </w:num>
  <w:num w:numId="28" w16cid:durableId="1873420275">
    <w:abstractNumId w:val="25"/>
  </w:num>
  <w:num w:numId="29" w16cid:durableId="1136525322">
    <w:abstractNumId w:val="15"/>
  </w:num>
  <w:num w:numId="30" w16cid:durableId="1209218850">
    <w:abstractNumId w:val="19"/>
  </w:num>
  <w:num w:numId="31" w16cid:durableId="588737718">
    <w:abstractNumId w:val="22"/>
  </w:num>
  <w:num w:numId="32" w16cid:durableId="1207256598">
    <w:abstractNumId w:val="32"/>
  </w:num>
  <w:num w:numId="33" w16cid:durableId="744914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9D"/>
    <w:rsid w:val="00022711"/>
    <w:rsid w:val="00041BF8"/>
    <w:rsid w:val="000445E8"/>
    <w:rsid w:val="000516B5"/>
    <w:rsid w:val="00051877"/>
    <w:rsid w:val="00064CF4"/>
    <w:rsid w:val="00082C4C"/>
    <w:rsid w:val="00083E8B"/>
    <w:rsid w:val="000B0245"/>
    <w:rsid w:val="000B6F22"/>
    <w:rsid w:val="000D23F6"/>
    <w:rsid w:val="000D3CEF"/>
    <w:rsid w:val="000E2A1E"/>
    <w:rsid w:val="000F188D"/>
    <w:rsid w:val="000F32DE"/>
    <w:rsid w:val="000F4E6E"/>
    <w:rsid w:val="00101969"/>
    <w:rsid w:val="00144CCB"/>
    <w:rsid w:val="00145D47"/>
    <w:rsid w:val="00153B16"/>
    <w:rsid w:val="00185029"/>
    <w:rsid w:val="001862DA"/>
    <w:rsid w:val="00192711"/>
    <w:rsid w:val="001A6904"/>
    <w:rsid w:val="001D708D"/>
    <w:rsid w:val="001D7309"/>
    <w:rsid w:val="001F6183"/>
    <w:rsid w:val="0028685D"/>
    <w:rsid w:val="002A0533"/>
    <w:rsid w:val="002C19FE"/>
    <w:rsid w:val="002C3935"/>
    <w:rsid w:val="002C3C3E"/>
    <w:rsid w:val="002C3CF8"/>
    <w:rsid w:val="002E24C8"/>
    <w:rsid w:val="002F371F"/>
    <w:rsid w:val="00312353"/>
    <w:rsid w:val="003144A1"/>
    <w:rsid w:val="00354902"/>
    <w:rsid w:val="00366842"/>
    <w:rsid w:val="003A1A18"/>
    <w:rsid w:val="003C7677"/>
    <w:rsid w:val="003D7C2E"/>
    <w:rsid w:val="003E3BFD"/>
    <w:rsid w:val="003F3614"/>
    <w:rsid w:val="00407AF2"/>
    <w:rsid w:val="00410638"/>
    <w:rsid w:val="00415067"/>
    <w:rsid w:val="00415371"/>
    <w:rsid w:val="00423C7C"/>
    <w:rsid w:val="004776D0"/>
    <w:rsid w:val="004A2426"/>
    <w:rsid w:val="004C42E9"/>
    <w:rsid w:val="004D0A48"/>
    <w:rsid w:val="004D3974"/>
    <w:rsid w:val="00510B5B"/>
    <w:rsid w:val="00511D58"/>
    <w:rsid w:val="00527DA3"/>
    <w:rsid w:val="005339CF"/>
    <w:rsid w:val="00543DF5"/>
    <w:rsid w:val="005526C2"/>
    <w:rsid w:val="005644B6"/>
    <w:rsid w:val="00564811"/>
    <w:rsid w:val="00571A33"/>
    <w:rsid w:val="00583BD1"/>
    <w:rsid w:val="00584275"/>
    <w:rsid w:val="0058741B"/>
    <w:rsid w:val="005A1D6B"/>
    <w:rsid w:val="005A5B34"/>
    <w:rsid w:val="005A7C8F"/>
    <w:rsid w:val="00611418"/>
    <w:rsid w:val="00612363"/>
    <w:rsid w:val="00625980"/>
    <w:rsid w:val="006411C8"/>
    <w:rsid w:val="00643E77"/>
    <w:rsid w:val="0066722E"/>
    <w:rsid w:val="006B561A"/>
    <w:rsid w:val="006B650D"/>
    <w:rsid w:val="006C3B68"/>
    <w:rsid w:val="006D0431"/>
    <w:rsid w:val="006D309C"/>
    <w:rsid w:val="006D512E"/>
    <w:rsid w:val="006F7DF1"/>
    <w:rsid w:val="00722CA0"/>
    <w:rsid w:val="0072333B"/>
    <w:rsid w:val="0072725B"/>
    <w:rsid w:val="00763719"/>
    <w:rsid w:val="00771B55"/>
    <w:rsid w:val="007752EA"/>
    <w:rsid w:val="00777BD6"/>
    <w:rsid w:val="007A2A4B"/>
    <w:rsid w:val="007B2987"/>
    <w:rsid w:val="007C77C2"/>
    <w:rsid w:val="007E750E"/>
    <w:rsid w:val="007F78FB"/>
    <w:rsid w:val="007F7A8B"/>
    <w:rsid w:val="0080104D"/>
    <w:rsid w:val="00801555"/>
    <w:rsid w:val="00803D0B"/>
    <w:rsid w:val="00855F98"/>
    <w:rsid w:val="00857187"/>
    <w:rsid w:val="00861BAE"/>
    <w:rsid w:val="008926A5"/>
    <w:rsid w:val="00896603"/>
    <w:rsid w:val="008A0B63"/>
    <w:rsid w:val="008A0E5F"/>
    <w:rsid w:val="008C48EF"/>
    <w:rsid w:val="008F3290"/>
    <w:rsid w:val="008F71C5"/>
    <w:rsid w:val="009370C9"/>
    <w:rsid w:val="00951E25"/>
    <w:rsid w:val="00960B41"/>
    <w:rsid w:val="00993D8B"/>
    <w:rsid w:val="009D790D"/>
    <w:rsid w:val="00A039B3"/>
    <w:rsid w:val="00A366A7"/>
    <w:rsid w:val="00A45077"/>
    <w:rsid w:val="00A6520A"/>
    <w:rsid w:val="00A8056F"/>
    <w:rsid w:val="00A9370B"/>
    <w:rsid w:val="00AC584C"/>
    <w:rsid w:val="00AD22AF"/>
    <w:rsid w:val="00B13BBF"/>
    <w:rsid w:val="00B15EA5"/>
    <w:rsid w:val="00B20D20"/>
    <w:rsid w:val="00B24A48"/>
    <w:rsid w:val="00B40EB0"/>
    <w:rsid w:val="00B47545"/>
    <w:rsid w:val="00B94823"/>
    <w:rsid w:val="00BA0807"/>
    <w:rsid w:val="00BB3E4C"/>
    <w:rsid w:val="00C06B4B"/>
    <w:rsid w:val="00C26DCC"/>
    <w:rsid w:val="00C73265"/>
    <w:rsid w:val="00C84655"/>
    <w:rsid w:val="00CD0B58"/>
    <w:rsid w:val="00CE321A"/>
    <w:rsid w:val="00CE5844"/>
    <w:rsid w:val="00CF4690"/>
    <w:rsid w:val="00D01B11"/>
    <w:rsid w:val="00D251BE"/>
    <w:rsid w:val="00D454C8"/>
    <w:rsid w:val="00D457F2"/>
    <w:rsid w:val="00D70074"/>
    <w:rsid w:val="00D9235B"/>
    <w:rsid w:val="00D9296A"/>
    <w:rsid w:val="00DA5AC8"/>
    <w:rsid w:val="00DA7957"/>
    <w:rsid w:val="00DB2960"/>
    <w:rsid w:val="00DD7641"/>
    <w:rsid w:val="00DE0814"/>
    <w:rsid w:val="00DF279D"/>
    <w:rsid w:val="00E117E4"/>
    <w:rsid w:val="00E30D00"/>
    <w:rsid w:val="00E3382E"/>
    <w:rsid w:val="00E351B8"/>
    <w:rsid w:val="00E352EE"/>
    <w:rsid w:val="00E61E89"/>
    <w:rsid w:val="00E73804"/>
    <w:rsid w:val="00E81849"/>
    <w:rsid w:val="00E83DA0"/>
    <w:rsid w:val="00E91A3B"/>
    <w:rsid w:val="00EA2EAD"/>
    <w:rsid w:val="00EB1DCE"/>
    <w:rsid w:val="00ED1935"/>
    <w:rsid w:val="00EF55B6"/>
    <w:rsid w:val="00F237B9"/>
    <w:rsid w:val="00F26684"/>
    <w:rsid w:val="00F30EEB"/>
    <w:rsid w:val="00F35800"/>
    <w:rsid w:val="00F4336C"/>
    <w:rsid w:val="00F44FEE"/>
    <w:rsid w:val="00F555BE"/>
    <w:rsid w:val="00F600AF"/>
    <w:rsid w:val="00FA084D"/>
    <w:rsid w:val="00FB47C6"/>
    <w:rsid w:val="00FB5052"/>
    <w:rsid w:val="00FC35AE"/>
    <w:rsid w:val="00FD1451"/>
    <w:rsid w:val="00FD6244"/>
    <w:rsid w:val="00FE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399C"/>
  <w15:docId w15:val="{2C4256A5-445C-45C9-8604-B5DB5654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7187"/>
    <w:rPr>
      <w:rFonts w:ascii="Arial" w:hAnsi="Arial" w:cs="Arial"/>
    </w:rPr>
  </w:style>
  <w:style w:type="paragraph" w:styleId="Heading1">
    <w:name w:val="heading 1"/>
    <w:basedOn w:val="Normal"/>
    <w:next w:val="Normal"/>
    <w:link w:val="Heading1Char"/>
    <w:uiPriority w:val="9"/>
    <w:qFormat/>
    <w:rsid w:val="00B47545"/>
    <w:pPr>
      <w:keepNext/>
      <w:keepLines/>
      <w:spacing w:before="120" w:after="120"/>
      <w:outlineLvl w:val="0"/>
    </w:pPr>
    <w:rPr>
      <w:rFonts w:ascii="Georgia" w:eastAsia="Arial" w:hAnsi="Georgia"/>
      <w:b/>
      <w:color w:val="FFFFFF" w:themeColor="background1"/>
      <w:sz w:val="32"/>
      <w:szCs w:val="32"/>
    </w:rPr>
  </w:style>
  <w:style w:type="paragraph" w:styleId="Heading2">
    <w:name w:val="heading 2"/>
    <w:basedOn w:val="Normal"/>
    <w:next w:val="Normal"/>
    <w:link w:val="Heading2Char"/>
    <w:uiPriority w:val="9"/>
    <w:unhideWhenUsed/>
    <w:qFormat/>
    <w:rsid w:val="00BB3E4C"/>
    <w:pPr>
      <w:keepNext/>
      <w:keepLines/>
      <w:spacing w:before="120" w:after="120"/>
      <w:outlineLvl w:val="1"/>
    </w:pPr>
    <w:rPr>
      <w:rFonts w:ascii="Georgia" w:eastAsia="Arial" w:hAnsi="Georgia"/>
      <w:color w:val="005681"/>
      <w:sz w:val="32"/>
      <w:szCs w:val="32"/>
    </w:rPr>
  </w:style>
  <w:style w:type="paragraph" w:styleId="Heading3">
    <w:name w:val="heading 3"/>
    <w:basedOn w:val="Normal"/>
    <w:next w:val="Normal"/>
    <w:link w:val="Heading3Char"/>
    <w:uiPriority w:val="9"/>
    <w:unhideWhenUsed/>
    <w:qFormat/>
    <w:rsid w:val="00BB3E4C"/>
    <w:pPr>
      <w:outlineLvl w:val="2"/>
    </w:pPr>
    <w:rPr>
      <w:rFonts w:ascii="Georgia" w:eastAsia="Arial" w:hAnsi="Georgia"/>
      <w:color w:val="005681"/>
      <w:sz w:val="28"/>
      <w:szCs w:val="32"/>
    </w:rPr>
  </w:style>
  <w:style w:type="paragraph" w:styleId="Heading4">
    <w:name w:val="heading 4"/>
    <w:basedOn w:val="Heading3"/>
    <w:next w:val="Normal"/>
    <w:link w:val="Heading4Char"/>
    <w:uiPriority w:val="9"/>
    <w:unhideWhenUsed/>
    <w:qFormat/>
    <w:rsid w:val="00BB3E4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9D"/>
  </w:style>
  <w:style w:type="paragraph" w:styleId="Footer">
    <w:name w:val="footer"/>
    <w:basedOn w:val="Normal"/>
    <w:link w:val="FooterChar"/>
    <w:uiPriority w:val="99"/>
    <w:unhideWhenUsed/>
    <w:rsid w:val="00DF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9D"/>
  </w:style>
  <w:style w:type="paragraph" w:styleId="BalloonText">
    <w:name w:val="Balloon Text"/>
    <w:basedOn w:val="Normal"/>
    <w:link w:val="BalloonTextChar"/>
    <w:uiPriority w:val="99"/>
    <w:semiHidden/>
    <w:unhideWhenUsed/>
    <w:rsid w:val="00DF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9D"/>
    <w:rPr>
      <w:rFonts w:ascii="Tahoma" w:hAnsi="Tahoma" w:cs="Tahoma"/>
      <w:sz w:val="16"/>
      <w:szCs w:val="16"/>
    </w:rPr>
  </w:style>
  <w:style w:type="table" w:styleId="TableGrid">
    <w:name w:val="Table Grid"/>
    <w:aliases w:val="KU Table"/>
    <w:basedOn w:val="TableNormal"/>
    <w:uiPriority w:val="59"/>
    <w:rsid w:val="002C3C3E"/>
    <w:pPr>
      <w:widowControl w:val="0"/>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Mar>
        <w:top w:w="115" w:type="dxa"/>
        <w:left w:w="115" w:type="dxa"/>
        <w:bottom w:w="115" w:type="dxa"/>
        <w:right w:w="115" w:type="dxa"/>
      </w:tcMar>
    </w:tcPr>
    <w:tblStylePr w:type="firstRow">
      <w:pPr>
        <w:jc w:val="center"/>
      </w:pPr>
      <w:rPr>
        <w:rFonts w:ascii="Arial" w:hAnsi="Arial"/>
        <w:b/>
        <w:sz w:val="22"/>
      </w:rPr>
      <w:tblPr/>
      <w:tcPr>
        <w:shd w:val="clear" w:color="auto" w:fill="004065"/>
        <w:vAlign w:val="center"/>
      </w:tcPr>
    </w:tblStylePr>
  </w:style>
  <w:style w:type="character" w:customStyle="1" w:styleId="Heading1Char">
    <w:name w:val="Heading 1 Char"/>
    <w:basedOn w:val="DefaultParagraphFont"/>
    <w:link w:val="Heading1"/>
    <w:uiPriority w:val="9"/>
    <w:rsid w:val="00B47545"/>
    <w:rPr>
      <w:rFonts w:ascii="Georgia" w:eastAsia="Arial" w:hAnsi="Georgia" w:cs="Arial"/>
      <w:b/>
      <w:color w:val="FFFFFF" w:themeColor="background1"/>
      <w:sz w:val="32"/>
      <w:szCs w:val="32"/>
    </w:rPr>
  </w:style>
  <w:style w:type="paragraph" w:customStyle="1" w:styleId="TableHeader">
    <w:name w:val="Table Header"/>
    <w:basedOn w:val="Normal"/>
    <w:link w:val="TableHeaderChar"/>
    <w:qFormat/>
    <w:rsid w:val="008A0E5F"/>
    <w:pPr>
      <w:widowControl w:val="0"/>
      <w:spacing w:after="0" w:line="240" w:lineRule="auto"/>
      <w:jc w:val="center"/>
    </w:pPr>
    <w:rPr>
      <w:b/>
      <w:color w:val="FFFFFF" w:themeColor="background1"/>
    </w:rPr>
  </w:style>
  <w:style w:type="character" w:customStyle="1" w:styleId="TableHeaderChar">
    <w:name w:val="Table Header Char"/>
    <w:basedOn w:val="DefaultParagraphFont"/>
    <w:link w:val="TableHeader"/>
    <w:rsid w:val="008A0E5F"/>
    <w:rPr>
      <w:rFonts w:ascii="Arial" w:hAnsi="Arial" w:cs="Arial"/>
      <w:b/>
      <w:color w:val="FFFFFF" w:themeColor="background1"/>
    </w:rPr>
  </w:style>
  <w:style w:type="character" w:customStyle="1" w:styleId="Heading2Char">
    <w:name w:val="Heading 2 Char"/>
    <w:basedOn w:val="DefaultParagraphFont"/>
    <w:link w:val="Heading2"/>
    <w:uiPriority w:val="9"/>
    <w:rsid w:val="00BB3E4C"/>
    <w:rPr>
      <w:rFonts w:ascii="Georgia" w:eastAsia="Arial" w:hAnsi="Georgia" w:cs="Arial"/>
      <w:color w:val="005681"/>
      <w:sz w:val="32"/>
      <w:szCs w:val="32"/>
    </w:rPr>
  </w:style>
  <w:style w:type="character" w:customStyle="1" w:styleId="Heading3Char">
    <w:name w:val="Heading 3 Char"/>
    <w:basedOn w:val="DefaultParagraphFont"/>
    <w:link w:val="Heading3"/>
    <w:uiPriority w:val="9"/>
    <w:rsid w:val="00BB3E4C"/>
    <w:rPr>
      <w:rFonts w:ascii="Georgia" w:eastAsia="Arial" w:hAnsi="Georgia" w:cs="Arial"/>
      <w:color w:val="005681"/>
      <w:sz w:val="28"/>
      <w:szCs w:val="32"/>
    </w:rPr>
  </w:style>
  <w:style w:type="character" w:customStyle="1" w:styleId="Heading4Char">
    <w:name w:val="Heading 4 Char"/>
    <w:basedOn w:val="DefaultParagraphFont"/>
    <w:link w:val="Heading4"/>
    <w:uiPriority w:val="9"/>
    <w:rsid w:val="00BB3E4C"/>
    <w:rPr>
      <w:rFonts w:ascii="Georgia" w:eastAsia="Arial" w:hAnsi="Georgia" w:cs="Arial"/>
      <w:color w:val="005681"/>
      <w:sz w:val="24"/>
      <w:szCs w:val="24"/>
    </w:rPr>
  </w:style>
  <w:style w:type="paragraph" w:styleId="Subtitle">
    <w:name w:val="Subtitle"/>
    <w:basedOn w:val="Normal"/>
    <w:next w:val="Normal"/>
    <w:link w:val="SubtitleChar"/>
    <w:uiPriority w:val="11"/>
    <w:rsid w:val="00E3382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382E"/>
    <w:rPr>
      <w:rFonts w:eastAsiaTheme="minorEastAsia"/>
      <w:color w:val="5A5A5A" w:themeColor="text1" w:themeTint="A5"/>
      <w:spacing w:val="15"/>
    </w:rPr>
  </w:style>
  <w:style w:type="paragraph" w:styleId="Title">
    <w:name w:val="Title"/>
    <w:basedOn w:val="Normal"/>
    <w:next w:val="Normal"/>
    <w:link w:val="TitleChar"/>
    <w:uiPriority w:val="10"/>
    <w:rsid w:val="00DE0814"/>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0814"/>
    <w:pPr>
      <w:widowControl w:val="0"/>
      <w:ind w:left="720"/>
      <w:contextualSpacing/>
    </w:pPr>
    <w:rPr>
      <w:rFonts w:asciiTheme="minorHAnsi" w:hAnsiTheme="minorHAnsi" w:cstheme="minorBidi"/>
    </w:rPr>
  </w:style>
  <w:style w:type="table" w:styleId="PlainTable2">
    <w:name w:val="Plain Table 2"/>
    <w:basedOn w:val="TableNormal"/>
    <w:uiPriority w:val="42"/>
    <w:rsid w:val="00EB1D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B1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rsid w:val="00857187"/>
    <w:rPr>
      <w:sz w:val="24"/>
      <w:szCs w:val="24"/>
    </w:rPr>
  </w:style>
  <w:style w:type="character" w:customStyle="1" w:styleId="InstructionsChar">
    <w:name w:val="Instructions Char"/>
    <w:basedOn w:val="DefaultParagraphFont"/>
    <w:link w:val="Instructions"/>
    <w:rsid w:val="00857187"/>
    <w:rPr>
      <w:rFonts w:ascii="Arial" w:hAnsi="Arial" w:cs="Arial"/>
      <w:sz w:val="24"/>
      <w:szCs w:val="24"/>
    </w:rPr>
  </w:style>
  <w:style w:type="character" w:styleId="Hyperlink">
    <w:name w:val="Hyperlink"/>
    <w:basedOn w:val="DefaultParagraphFont"/>
    <w:uiPriority w:val="99"/>
    <w:unhideWhenUsed/>
    <w:rsid w:val="00051877"/>
    <w:rPr>
      <w:color w:val="0000FF"/>
      <w:u w:val="single"/>
    </w:rPr>
  </w:style>
  <w:style w:type="paragraph" w:styleId="NormalWeb">
    <w:name w:val="Normal (Web)"/>
    <w:basedOn w:val="Normal"/>
    <w:uiPriority w:val="99"/>
    <w:unhideWhenUsed/>
    <w:rsid w:val="00051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51877"/>
    <w:rPr>
      <w:b/>
      <w:bCs/>
    </w:rPr>
  </w:style>
  <w:style w:type="character" w:styleId="UnresolvedMention">
    <w:name w:val="Unresolved Mention"/>
    <w:basedOn w:val="DefaultParagraphFont"/>
    <w:uiPriority w:val="99"/>
    <w:rsid w:val="00D457F2"/>
    <w:rPr>
      <w:color w:val="605E5C"/>
      <w:shd w:val="clear" w:color="auto" w:fill="E1DFDD"/>
    </w:rPr>
  </w:style>
  <w:style w:type="character" w:styleId="Emphasis">
    <w:name w:val="Emphasis"/>
    <w:basedOn w:val="DefaultParagraphFont"/>
    <w:uiPriority w:val="20"/>
    <w:qFormat/>
    <w:rsid w:val="001D7309"/>
    <w:rPr>
      <w:i/>
      <w:iCs/>
    </w:rPr>
  </w:style>
  <w:style w:type="character" w:styleId="FollowedHyperlink">
    <w:name w:val="FollowedHyperlink"/>
    <w:basedOn w:val="DefaultParagraphFont"/>
    <w:uiPriority w:val="99"/>
    <w:semiHidden/>
    <w:unhideWhenUsed/>
    <w:rsid w:val="0015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5766">
      <w:bodyDiv w:val="1"/>
      <w:marLeft w:val="0"/>
      <w:marRight w:val="0"/>
      <w:marTop w:val="0"/>
      <w:marBottom w:val="0"/>
      <w:divBdr>
        <w:top w:val="none" w:sz="0" w:space="0" w:color="auto"/>
        <w:left w:val="none" w:sz="0" w:space="0" w:color="auto"/>
        <w:bottom w:val="none" w:sz="0" w:space="0" w:color="auto"/>
        <w:right w:val="none" w:sz="0" w:space="0" w:color="auto"/>
      </w:divBdr>
    </w:div>
    <w:div w:id="675807976">
      <w:bodyDiv w:val="1"/>
      <w:marLeft w:val="0"/>
      <w:marRight w:val="0"/>
      <w:marTop w:val="0"/>
      <w:marBottom w:val="0"/>
      <w:divBdr>
        <w:top w:val="none" w:sz="0" w:space="0" w:color="auto"/>
        <w:left w:val="none" w:sz="0" w:space="0" w:color="auto"/>
        <w:bottom w:val="none" w:sz="0" w:space="0" w:color="auto"/>
        <w:right w:val="none" w:sz="0" w:space="0" w:color="auto"/>
      </w:divBdr>
    </w:div>
    <w:div w:id="839124410">
      <w:bodyDiv w:val="1"/>
      <w:marLeft w:val="0"/>
      <w:marRight w:val="0"/>
      <w:marTop w:val="0"/>
      <w:marBottom w:val="0"/>
      <w:divBdr>
        <w:top w:val="none" w:sz="0" w:space="0" w:color="auto"/>
        <w:left w:val="none" w:sz="0" w:space="0" w:color="auto"/>
        <w:bottom w:val="none" w:sz="0" w:space="0" w:color="auto"/>
        <w:right w:val="none" w:sz="0" w:space="0" w:color="auto"/>
      </w:divBdr>
    </w:div>
    <w:div w:id="1699813012">
      <w:bodyDiv w:val="1"/>
      <w:marLeft w:val="0"/>
      <w:marRight w:val="0"/>
      <w:marTop w:val="0"/>
      <w:marBottom w:val="0"/>
      <w:divBdr>
        <w:top w:val="none" w:sz="0" w:space="0" w:color="auto"/>
        <w:left w:val="none" w:sz="0" w:space="0" w:color="auto"/>
        <w:bottom w:val="none" w:sz="0" w:space="0" w:color="auto"/>
        <w:right w:val="none" w:sz="0" w:space="0" w:color="auto"/>
      </w:divBdr>
    </w:div>
    <w:div w:id="1983461229">
      <w:bodyDiv w:val="1"/>
      <w:marLeft w:val="0"/>
      <w:marRight w:val="0"/>
      <w:marTop w:val="0"/>
      <w:marBottom w:val="0"/>
      <w:divBdr>
        <w:top w:val="none" w:sz="0" w:space="0" w:color="auto"/>
        <w:left w:val="none" w:sz="0" w:space="0" w:color="auto"/>
        <w:bottom w:val="none" w:sz="0" w:space="0" w:color="auto"/>
        <w:right w:val="none" w:sz="0" w:space="0" w:color="auto"/>
      </w:divBdr>
      <w:divsChild>
        <w:div w:id="241987163">
          <w:marLeft w:val="0"/>
          <w:marRight w:val="0"/>
          <w:marTop w:val="0"/>
          <w:marBottom w:val="0"/>
          <w:divBdr>
            <w:top w:val="none" w:sz="0" w:space="0" w:color="auto"/>
            <w:left w:val="none" w:sz="0" w:space="0" w:color="auto"/>
            <w:bottom w:val="none" w:sz="0" w:space="0" w:color="auto"/>
            <w:right w:val="none" w:sz="0" w:space="0" w:color="auto"/>
          </w:divBdr>
        </w:div>
        <w:div w:id="977299414">
          <w:marLeft w:val="0"/>
          <w:marRight w:val="0"/>
          <w:marTop w:val="0"/>
          <w:marBottom w:val="0"/>
          <w:divBdr>
            <w:top w:val="none" w:sz="0" w:space="0" w:color="auto"/>
            <w:left w:val="none" w:sz="0" w:space="0" w:color="auto"/>
            <w:bottom w:val="none" w:sz="0" w:space="0" w:color="auto"/>
            <w:right w:val="none" w:sz="0" w:space="0" w:color="auto"/>
          </w:divBdr>
        </w:div>
        <w:div w:id="720785982">
          <w:marLeft w:val="0"/>
          <w:marRight w:val="0"/>
          <w:marTop w:val="0"/>
          <w:marBottom w:val="0"/>
          <w:divBdr>
            <w:top w:val="none" w:sz="0" w:space="0" w:color="auto"/>
            <w:left w:val="none" w:sz="0" w:space="0" w:color="auto"/>
            <w:bottom w:val="none" w:sz="0" w:space="0" w:color="auto"/>
            <w:right w:val="none" w:sz="0" w:space="0" w:color="auto"/>
          </w:divBdr>
        </w:div>
        <w:div w:id="770470418">
          <w:marLeft w:val="0"/>
          <w:marRight w:val="0"/>
          <w:marTop w:val="0"/>
          <w:marBottom w:val="0"/>
          <w:divBdr>
            <w:top w:val="none" w:sz="0" w:space="0" w:color="auto"/>
            <w:left w:val="none" w:sz="0" w:space="0" w:color="auto"/>
            <w:bottom w:val="none" w:sz="0" w:space="0" w:color="auto"/>
            <w:right w:val="none" w:sz="0" w:space="0" w:color="auto"/>
          </w:divBdr>
        </w:div>
        <w:div w:id="1499735441">
          <w:marLeft w:val="0"/>
          <w:marRight w:val="0"/>
          <w:marTop w:val="0"/>
          <w:marBottom w:val="0"/>
          <w:divBdr>
            <w:top w:val="none" w:sz="0" w:space="0" w:color="auto"/>
            <w:left w:val="none" w:sz="0" w:space="0" w:color="auto"/>
            <w:bottom w:val="none" w:sz="0" w:space="0" w:color="auto"/>
            <w:right w:val="none" w:sz="0" w:space="0" w:color="auto"/>
          </w:divBdr>
        </w:div>
        <w:div w:id="786001280">
          <w:marLeft w:val="0"/>
          <w:marRight w:val="0"/>
          <w:marTop w:val="0"/>
          <w:marBottom w:val="0"/>
          <w:divBdr>
            <w:top w:val="none" w:sz="0" w:space="0" w:color="auto"/>
            <w:left w:val="none" w:sz="0" w:space="0" w:color="auto"/>
            <w:bottom w:val="none" w:sz="0" w:space="0" w:color="auto"/>
            <w:right w:val="none" w:sz="0" w:space="0" w:color="auto"/>
          </w:divBdr>
        </w:div>
        <w:div w:id="2093964965">
          <w:marLeft w:val="0"/>
          <w:marRight w:val="0"/>
          <w:marTop w:val="0"/>
          <w:marBottom w:val="0"/>
          <w:divBdr>
            <w:top w:val="none" w:sz="0" w:space="0" w:color="auto"/>
            <w:left w:val="none" w:sz="0" w:space="0" w:color="auto"/>
            <w:bottom w:val="none" w:sz="0" w:space="0" w:color="auto"/>
            <w:right w:val="none" w:sz="0" w:space="0" w:color="auto"/>
          </w:divBdr>
        </w:div>
        <w:div w:id="2114934418">
          <w:marLeft w:val="0"/>
          <w:marRight w:val="0"/>
          <w:marTop w:val="0"/>
          <w:marBottom w:val="0"/>
          <w:divBdr>
            <w:top w:val="none" w:sz="0" w:space="0" w:color="auto"/>
            <w:left w:val="none" w:sz="0" w:space="0" w:color="auto"/>
            <w:bottom w:val="none" w:sz="0" w:space="0" w:color="auto"/>
            <w:right w:val="none" w:sz="0" w:space="0" w:color="auto"/>
          </w:divBdr>
        </w:div>
        <w:div w:id="829058340">
          <w:marLeft w:val="0"/>
          <w:marRight w:val="0"/>
          <w:marTop w:val="0"/>
          <w:marBottom w:val="0"/>
          <w:divBdr>
            <w:top w:val="none" w:sz="0" w:space="0" w:color="auto"/>
            <w:left w:val="none" w:sz="0" w:space="0" w:color="auto"/>
            <w:bottom w:val="none" w:sz="0" w:space="0" w:color="auto"/>
            <w:right w:val="none" w:sz="0" w:space="0" w:color="auto"/>
          </w:divBdr>
        </w:div>
        <w:div w:id="738525961">
          <w:marLeft w:val="0"/>
          <w:marRight w:val="0"/>
          <w:marTop w:val="0"/>
          <w:marBottom w:val="0"/>
          <w:divBdr>
            <w:top w:val="none" w:sz="0" w:space="0" w:color="auto"/>
            <w:left w:val="none" w:sz="0" w:space="0" w:color="auto"/>
            <w:bottom w:val="none" w:sz="0" w:space="0" w:color="auto"/>
            <w:right w:val="none" w:sz="0" w:space="0" w:color="auto"/>
          </w:divBdr>
        </w:div>
        <w:div w:id="1991589293">
          <w:marLeft w:val="0"/>
          <w:marRight w:val="0"/>
          <w:marTop w:val="0"/>
          <w:marBottom w:val="0"/>
          <w:divBdr>
            <w:top w:val="none" w:sz="0" w:space="0" w:color="auto"/>
            <w:left w:val="none" w:sz="0" w:space="0" w:color="auto"/>
            <w:bottom w:val="none" w:sz="0" w:space="0" w:color="auto"/>
            <w:right w:val="none" w:sz="0" w:space="0" w:color="auto"/>
          </w:divBdr>
        </w:div>
        <w:div w:id="76003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primo.hosted.exlibrisgroup.com/permalink/f/1ik10ij/TN_cdi_crossref_citationtrail_" TargetMode="External"/><Relationship Id="rId13" Type="http://schemas.openxmlformats.org/officeDocument/2006/relationships/hyperlink" Target="https://kuprimo.hosted.exlibrisgroup.com/permalink/f/1ik10ij/TN_cdi_crossref_citationtrail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primo.hosted.exlibrisgroup.com/permalink/f/1ik10ij/TN_cdi_proquest_miscellaneous_33207621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primo.hosted.exlibrisgroup.com/permalink/f/1ik10ij/TN_cdi_crossref_primary_10_3389_fpsyg_2024_13870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89/fpsyg.2024.1387089" TargetMode="External"/><Relationship Id="rId4" Type="http://schemas.openxmlformats.org/officeDocument/2006/relationships/settings" Target="settings.xml"/><Relationship Id="rId9" Type="http://schemas.openxmlformats.org/officeDocument/2006/relationships/hyperlink" Target="https://kuprimo.hosted.exlibrisgroup.com/permalink/f/1ik10ij/TN_cdi_crossref_citationtrail_10_1002_jaba_8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UTheme">
  <a:themeElements>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UTheme" id="{ECE54246-F373-48D2-8183-5FA82A779986}" vid="{5BF0712C-D547-4FCB-9183-A39B762612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B68AA-3A04-4819-A8CD-B502055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Erica Grindinger</cp:lastModifiedBy>
  <cp:revision>7</cp:revision>
  <cp:lastPrinted>2015-04-14T23:03:00Z</cp:lastPrinted>
  <dcterms:created xsi:type="dcterms:W3CDTF">2026-04-09T15:09:00Z</dcterms:created>
  <dcterms:modified xsi:type="dcterms:W3CDTF">2026-04-17T02:57:00Z</dcterms:modified>
</cp:coreProperties>
</file>