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7262" w14:textId="2E3BADF0" w:rsidR="000E2A1E" w:rsidRPr="00B15EA5" w:rsidRDefault="000E2A1E" w:rsidP="007E750E">
      <w:pPr>
        <w:pStyle w:val="Heading1"/>
        <w:spacing w:line="240" w:lineRule="auto"/>
        <w:contextualSpacing/>
        <w:jc w:val="center"/>
        <w:rPr>
          <w:rStyle w:val="Strong"/>
          <w:rFonts w:ascii="Arial" w:hAnsi="Arial"/>
          <w:b/>
          <w:bCs w:val="0"/>
          <w:color w:val="1F4E79" w:themeColor="accent1" w:themeShade="80"/>
        </w:rPr>
      </w:pPr>
      <w:r w:rsidRPr="00B15EA5">
        <w:rPr>
          <w:rStyle w:val="Strong"/>
          <w:rFonts w:ascii="Arial" w:hAnsi="Arial"/>
          <w:b/>
          <w:bCs w:val="0"/>
          <w:color w:val="1F4E79" w:themeColor="accent1" w:themeShade="80"/>
        </w:rPr>
        <w:t xml:space="preserve">SPED 898 Literature Review </w:t>
      </w:r>
    </w:p>
    <w:p w14:paraId="3D6BA2DD" w14:textId="68C745A4" w:rsidR="00D457F2" w:rsidRPr="00F034C1" w:rsidRDefault="00722CA0" w:rsidP="00F034C1">
      <w:pPr>
        <w:spacing w:line="240" w:lineRule="auto"/>
        <w:contextualSpacing/>
        <w:rPr>
          <w:b/>
          <w:bCs/>
          <w:sz w:val="28"/>
          <w:szCs w:val="28"/>
          <w:u w:val="single"/>
        </w:rPr>
      </w:pPr>
      <w:r w:rsidRPr="00A45077">
        <w:rPr>
          <w:rStyle w:val="Strong"/>
          <w:sz w:val="28"/>
          <w:szCs w:val="28"/>
          <w:highlight w:val="yellow"/>
          <w:u w:val="single"/>
        </w:rPr>
        <w:t xml:space="preserve">Domain: </w:t>
      </w:r>
      <w:r w:rsidR="00A45077" w:rsidRPr="00A45077">
        <w:rPr>
          <w:rStyle w:val="Strong"/>
          <w:sz w:val="28"/>
          <w:szCs w:val="28"/>
          <w:highlight w:val="yellow"/>
          <w:u w:val="single"/>
        </w:rPr>
        <w:t xml:space="preserve">Individual learning differences and learning environment </w:t>
      </w:r>
    </w:p>
    <w:p w14:paraId="22C9989F" w14:textId="050865F2" w:rsidR="000D3CEF" w:rsidRPr="00E4529B" w:rsidRDefault="000D3CEF" w:rsidP="007E750E">
      <w:pPr>
        <w:pStyle w:val="Heading3"/>
        <w:spacing w:line="240" w:lineRule="auto"/>
        <w:contextualSpacing/>
        <w:rPr>
          <w:rFonts w:asciiTheme="minorHAnsi" w:hAnsiTheme="minorHAnsi" w:cstheme="minorHAnsi"/>
          <w:sz w:val="22"/>
          <w:szCs w:val="22"/>
        </w:rPr>
      </w:pPr>
    </w:p>
    <w:tbl>
      <w:tblPr>
        <w:tblStyle w:val="TableGrid"/>
        <w:tblW w:w="11347" w:type="dxa"/>
        <w:tblBorders>
          <w:left w:val="none" w:sz="0" w:space="0" w:color="auto"/>
          <w:right w:val="none" w:sz="0" w:space="0" w:color="auto"/>
        </w:tblBorders>
        <w:tblLook w:val="04A0" w:firstRow="1" w:lastRow="0" w:firstColumn="1" w:lastColumn="0" w:noHBand="0" w:noVBand="1"/>
      </w:tblPr>
      <w:tblGrid>
        <w:gridCol w:w="11347"/>
      </w:tblGrid>
      <w:tr w:rsidR="003D7C2E" w:rsidRPr="00E4529B" w14:paraId="53707737" w14:textId="77777777" w:rsidTr="000F4E6E">
        <w:trPr>
          <w:cnfStyle w:val="100000000000" w:firstRow="1" w:lastRow="0" w:firstColumn="0" w:lastColumn="0" w:oddVBand="0" w:evenVBand="0" w:oddHBand="0" w:evenHBand="0" w:firstRowFirstColumn="0" w:firstRowLastColumn="0" w:lastRowFirstColumn="0" w:lastRowLastColumn="0"/>
        </w:trPr>
        <w:tc>
          <w:tcPr>
            <w:tcW w:w="11347" w:type="dxa"/>
            <w:shd w:val="clear" w:color="auto" w:fill="1F4E79" w:themeFill="accent1" w:themeFillShade="80"/>
          </w:tcPr>
          <w:p w14:paraId="4F56E3DD" w14:textId="3D9EF0E6" w:rsidR="003D7C2E" w:rsidRPr="00E4529B" w:rsidRDefault="003D7C2E" w:rsidP="007E750E">
            <w:pPr>
              <w:contextualSpacing/>
              <w:jc w:val="right"/>
              <w:rPr>
                <w:rStyle w:val="Strong"/>
                <w:rFonts w:asciiTheme="minorHAnsi" w:hAnsiTheme="minorHAnsi" w:cstheme="minorHAnsi"/>
                <w:b/>
                <w:bCs w:val="0"/>
                <w:color w:val="FFFFFF" w:themeColor="background1"/>
              </w:rPr>
            </w:pPr>
            <w:r w:rsidRPr="00E4529B">
              <w:rPr>
                <w:rStyle w:val="Strong"/>
                <w:rFonts w:asciiTheme="minorHAnsi" w:hAnsiTheme="minorHAnsi" w:cstheme="minorHAnsi"/>
                <w:b/>
                <w:bCs w:val="0"/>
                <w:color w:val="FFFFFF" w:themeColor="background1"/>
              </w:rPr>
              <w:t>Article ONE</w:t>
            </w:r>
          </w:p>
        </w:tc>
      </w:tr>
      <w:tr w:rsidR="003D7C2E" w:rsidRPr="00E4529B" w14:paraId="69BB1930" w14:textId="77777777" w:rsidTr="000F4E6E">
        <w:tc>
          <w:tcPr>
            <w:tcW w:w="11347" w:type="dxa"/>
            <w:shd w:val="clear" w:color="auto" w:fill="2E74B5" w:themeFill="accent1" w:themeFillShade="BF"/>
          </w:tcPr>
          <w:p w14:paraId="1C9A6255" w14:textId="7C72957C" w:rsidR="003D7C2E" w:rsidRPr="00E4529B" w:rsidRDefault="003D7C2E" w:rsidP="007E750E">
            <w:pPr>
              <w:contextualSpacing/>
              <w:rPr>
                <w:rFonts w:asciiTheme="minorHAnsi" w:hAnsiTheme="minorHAnsi" w:cstheme="minorHAnsi"/>
                <w:b/>
                <w:bCs/>
                <w:color w:val="FFFFFF" w:themeColor="background1"/>
              </w:rPr>
            </w:pPr>
            <w:r w:rsidRPr="00E4529B">
              <w:rPr>
                <w:rFonts w:asciiTheme="minorHAnsi" w:hAnsiTheme="minorHAnsi" w:cstheme="minorHAnsi"/>
                <w:b/>
                <w:bCs/>
                <w:color w:val="FFFFFF" w:themeColor="background1"/>
              </w:rPr>
              <w:t>APA Citation (3–5-year timeframe)</w:t>
            </w:r>
          </w:p>
        </w:tc>
      </w:tr>
      <w:tr w:rsidR="003D7C2E" w:rsidRPr="00E4529B" w14:paraId="3BAFC3AD" w14:textId="77777777" w:rsidTr="000F4E6E">
        <w:tc>
          <w:tcPr>
            <w:tcW w:w="11347" w:type="dxa"/>
          </w:tcPr>
          <w:p w14:paraId="5741CB05" w14:textId="77777777" w:rsidR="001D7309" w:rsidRPr="00E4529B" w:rsidRDefault="001D7309" w:rsidP="007E750E">
            <w:pPr>
              <w:ind w:left="720" w:hanging="720"/>
              <w:contextualSpacing/>
              <w:rPr>
                <w:rFonts w:asciiTheme="minorHAnsi" w:hAnsiTheme="minorHAnsi" w:cstheme="minorHAnsi"/>
              </w:rPr>
            </w:pPr>
            <w:proofErr w:type="spellStart"/>
            <w:r w:rsidRPr="00E4529B">
              <w:rPr>
                <w:rFonts w:asciiTheme="minorHAnsi" w:hAnsiTheme="minorHAnsi" w:cstheme="minorHAnsi"/>
              </w:rPr>
              <w:t>Cayubit</w:t>
            </w:r>
            <w:proofErr w:type="spellEnd"/>
            <w:r w:rsidRPr="00E4529B">
              <w:rPr>
                <w:rFonts w:asciiTheme="minorHAnsi" w:hAnsiTheme="minorHAnsi" w:cstheme="minorHAnsi"/>
              </w:rPr>
              <w:t xml:space="preserve">, R. F. O. (2022). Why learning environment matters? An analysis on how the learning </w:t>
            </w:r>
          </w:p>
          <w:p w14:paraId="7DE0FBDF" w14:textId="77777777" w:rsidR="001D7309" w:rsidRPr="00E4529B" w:rsidRDefault="001D7309" w:rsidP="007E750E">
            <w:pPr>
              <w:ind w:left="720" w:hanging="720"/>
              <w:contextualSpacing/>
              <w:rPr>
                <w:rFonts w:asciiTheme="minorHAnsi" w:hAnsiTheme="minorHAnsi" w:cstheme="minorHAnsi"/>
              </w:rPr>
            </w:pPr>
          </w:p>
          <w:p w14:paraId="08832026" w14:textId="78BE0407" w:rsidR="001D7309" w:rsidRPr="00E4529B" w:rsidRDefault="001D7309" w:rsidP="001D7309">
            <w:pPr>
              <w:contextualSpacing/>
              <w:rPr>
                <w:rFonts w:asciiTheme="minorHAnsi" w:hAnsiTheme="minorHAnsi" w:cstheme="minorHAnsi"/>
              </w:rPr>
            </w:pPr>
            <w:r w:rsidRPr="00E4529B">
              <w:rPr>
                <w:rFonts w:asciiTheme="minorHAnsi" w:hAnsiTheme="minorHAnsi" w:cstheme="minorHAnsi"/>
              </w:rPr>
              <w:t xml:space="preserve">           environment influences the academic motivation, learning strategies and engagement of </w:t>
            </w:r>
          </w:p>
          <w:p w14:paraId="08CE730A" w14:textId="77777777" w:rsidR="001D7309" w:rsidRPr="00E4529B" w:rsidRDefault="001D7309" w:rsidP="007E750E">
            <w:pPr>
              <w:ind w:left="720" w:hanging="720"/>
              <w:contextualSpacing/>
              <w:rPr>
                <w:rFonts w:asciiTheme="minorHAnsi" w:hAnsiTheme="minorHAnsi" w:cstheme="minorHAnsi"/>
              </w:rPr>
            </w:pPr>
          </w:p>
          <w:p w14:paraId="6ECA722E" w14:textId="7EB0E4F7" w:rsidR="001D7309" w:rsidRPr="00E4529B" w:rsidRDefault="001D7309" w:rsidP="007E750E">
            <w:pPr>
              <w:ind w:left="720" w:hanging="720"/>
              <w:contextualSpacing/>
              <w:rPr>
                <w:rFonts w:asciiTheme="minorHAnsi" w:hAnsiTheme="minorHAnsi" w:cstheme="minorHAnsi"/>
              </w:rPr>
            </w:pPr>
            <w:r w:rsidRPr="00E4529B">
              <w:rPr>
                <w:rFonts w:asciiTheme="minorHAnsi" w:hAnsiTheme="minorHAnsi" w:cstheme="minorHAnsi"/>
              </w:rPr>
              <w:t xml:space="preserve">           college students. </w:t>
            </w:r>
            <w:r w:rsidRPr="00E4529B">
              <w:rPr>
                <w:rStyle w:val="Emphasis"/>
                <w:rFonts w:asciiTheme="minorHAnsi" w:hAnsiTheme="minorHAnsi" w:cstheme="minorHAnsi"/>
              </w:rPr>
              <w:t>Learning Environments Research, 25</w:t>
            </w:r>
            <w:r w:rsidRPr="00E4529B">
              <w:rPr>
                <w:rFonts w:asciiTheme="minorHAnsi" w:hAnsiTheme="minorHAnsi" w:cstheme="minorHAnsi"/>
              </w:rPr>
              <w:t xml:space="preserve">(2), 581–599. </w:t>
            </w:r>
          </w:p>
          <w:p w14:paraId="65DAFEB4" w14:textId="77777777" w:rsidR="001D7309" w:rsidRPr="00E4529B" w:rsidRDefault="001D7309" w:rsidP="007E750E">
            <w:pPr>
              <w:ind w:left="720" w:hanging="720"/>
              <w:contextualSpacing/>
              <w:rPr>
                <w:rFonts w:asciiTheme="minorHAnsi" w:hAnsiTheme="minorHAnsi" w:cstheme="minorHAnsi"/>
              </w:rPr>
            </w:pPr>
          </w:p>
          <w:p w14:paraId="49C23D20" w14:textId="0313DB79" w:rsidR="003D7C2E" w:rsidRPr="00E4529B" w:rsidRDefault="001D7309" w:rsidP="007E750E">
            <w:pPr>
              <w:ind w:left="720" w:hanging="720"/>
              <w:contextualSpacing/>
              <w:rPr>
                <w:rFonts w:asciiTheme="minorHAnsi" w:hAnsiTheme="minorHAnsi" w:cstheme="minorHAnsi"/>
              </w:rPr>
            </w:pPr>
            <w:r w:rsidRPr="00E4529B">
              <w:rPr>
                <w:rFonts w:asciiTheme="minorHAnsi" w:hAnsiTheme="minorHAnsi" w:cstheme="minorHAnsi"/>
              </w:rPr>
              <w:t xml:space="preserve">           </w:t>
            </w:r>
            <w:hyperlink r:id="rId8" w:history="1">
              <w:r w:rsidRPr="00E4529B">
                <w:rPr>
                  <w:rStyle w:val="Hyperlink"/>
                  <w:rFonts w:asciiTheme="minorHAnsi" w:hAnsiTheme="minorHAnsi" w:cstheme="minorHAnsi"/>
                </w:rPr>
                <w:t>https://doi.org/10.1007/s10984-021-09382-x</w:t>
              </w:r>
            </w:hyperlink>
            <w:r w:rsidR="00153B16" w:rsidRPr="00E4529B">
              <w:rPr>
                <w:rFonts w:asciiTheme="minorHAnsi" w:hAnsiTheme="minorHAnsi" w:cstheme="minorHAnsi"/>
              </w:rPr>
              <w:t xml:space="preserve"> </w:t>
            </w:r>
          </w:p>
        </w:tc>
      </w:tr>
      <w:tr w:rsidR="003D7C2E" w:rsidRPr="00E4529B" w14:paraId="0F9AFDC6" w14:textId="77777777" w:rsidTr="000F4E6E">
        <w:tc>
          <w:tcPr>
            <w:tcW w:w="11347" w:type="dxa"/>
            <w:shd w:val="clear" w:color="auto" w:fill="2E74B5" w:themeFill="accent1" w:themeFillShade="BF"/>
          </w:tcPr>
          <w:p w14:paraId="468C4E0C" w14:textId="2A2BC86D" w:rsidR="003D7C2E" w:rsidRPr="00E4529B" w:rsidRDefault="003D7C2E" w:rsidP="007E750E">
            <w:pPr>
              <w:contextualSpacing/>
              <w:rPr>
                <w:rFonts w:asciiTheme="minorHAnsi" w:hAnsiTheme="minorHAnsi" w:cstheme="minorHAnsi"/>
                <w:b/>
                <w:bCs/>
                <w:color w:val="FFFFFF" w:themeColor="background1"/>
              </w:rPr>
            </w:pPr>
            <w:r w:rsidRPr="00E4529B">
              <w:rPr>
                <w:rFonts w:asciiTheme="minorHAnsi" w:hAnsiTheme="minorHAnsi" w:cstheme="minorHAnsi"/>
                <w:b/>
                <w:bCs/>
                <w:color w:val="FFFFFF" w:themeColor="background1"/>
              </w:rPr>
              <w:t>Permalink from the KU Library</w:t>
            </w:r>
          </w:p>
        </w:tc>
      </w:tr>
      <w:tr w:rsidR="003D7C2E" w:rsidRPr="00E4529B" w14:paraId="70E467DC" w14:textId="77777777" w:rsidTr="000F4E6E">
        <w:tc>
          <w:tcPr>
            <w:tcW w:w="11347" w:type="dxa"/>
          </w:tcPr>
          <w:p w14:paraId="1A4F57B5" w14:textId="798A1BE6" w:rsidR="003D7C2E" w:rsidRPr="00E4529B" w:rsidRDefault="00A45077" w:rsidP="007E750E">
            <w:pPr>
              <w:contextualSpacing/>
              <w:rPr>
                <w:rFonts w:asciiTheme="minorHAnsi" w:hAnsiTheme="minorHAnsi" w:cstheme="minorHAnsi"/>
              </w:rPr>
            </w:pPr>
            <w:r w:rsidRPr="00E4529B">
              <w:rPr>
                <w:rFonts w:asciiTheme="minorHAnsi" w:hAnsiTheme="minorHAnsi" w:cstheme="minorHAnsi"/>
                <w:color w:val="3A3A3A"/>
                <w:shd w:val="clear" w:color="auto" w:fill="FFFFFF"/>
              </w:rPr>
              <w:t>https://kuprimo.hosted.exlibrisgroup.com/permalink/f/1ik10ij/TN_cdi_proquest_journals_2675083685</w:t>
            </w:r>
          </w:p>
        </w:tc>
      </w:tr>
      <w:tr w:rsidR="003D7C2E" w:rsidRPr="00E4529B" w14:paraId="5478F30D" w14:textId="77777777" w:rsidTr="000F4E6E">
        <w:tc>
          <w:tcPr>
            <w:tcW w:w="11347" w:type="dxa"/>
            <w:shd w:val="clear" w:color="auto" w:fill="2E74B5" w:themeFill="accent1" w:themeFillShade="BF"/>
          </w:tcPr>
          <w:p w14:paraId="60F28F86" w14:textId="430154C0" w:rsidR="003D7C2E" w:rsidRPr="00E4529B" w:rsidRDefault="003D7C2E" w:rsidP="007E750E">
            <w:pPr>
              <w:contextualSpacing/>
              <w:rPr>
                <w:rFonts w:asciiTheme="minorHAnsi" w:hAnsiTheme="minorHAnsi" w:cstheme="minorHAnsi"/>
                <w:b/>
                <w:bCs/>
                <w:color w:val="FFFFFF" w:themeColor="background1"/>
              </w:rPr>
            </w:pPr>
            <w:r w:rsidRPr="00E4529B">
              <w:rPr>
                <w:rFonts w:asciiTheme="minorHAnsi" w:hAnsiTheme="minorHAnsi" w:cstheme="minorHAnsi"/>
                <w:b/>
                <w:bCs/>
                <w:color w:val="FFFFFF" w:themeColor="background1"/>
              </w:rPr>
              <w:t>Associated Competency</w:t>
            </w:r>
          </w:p>
        </w:tc>
      </w:tr>
      <w:tr w:rsidR="003D7C2E" w:rsidRPr="00E4529B" w14:paraId="0ED499B8" w14:textId="77777777" w:rsidTr="000F4E6E">
        <w:tc>
          <w:tcPr>
            <w:tcW w:w="11347" w:type="dxa"/>
          </w:tcPr>
          <w:p w14:paraId="3F111EBA" w14:textId="69276126" w:rsidR="003D7C2E" w:rsidRPr="00E4529B" w:rsidRDefault="001D7309" w:rsidP="007E750E">
            <w:pPr>
              <w:contextualSpacing/>
              <w:rPr>
                <w:rFonts w:asciiTheme="minorHAnsi" w:hAnsiTheme="minorHAnsi" w:cstheme="minorHAnsi"/>
              </w:rPr>
            </w:pPr>
            <w:r w:rsidRPr="00E4529B">
              <w:rPr>
                <w:rStyle w:val="Strong"/>
                <w:rFonts w:asciiTheme="minorHAnsi" w:hAnsiTheme="minorHAnsi" w:cstheme="minorHAnsi"/>
                <w:b w:val="0"/>
                <w:bCs w:val="0"/>
              </w:rPr>
              <w:t>Domain 1.12</w:t>
            </w:r>
            <w:r w:rsidRPr="00E4529B">
              <w:rPr>
                <w:rStyle w:val="Strong"/>
                <w:rFonts w:asciiTheme="minorHAnsi" w:hAnsiTheme="minorHAnsi" w:cstheme="minorHAnsi"/>
              </w:rPr>
              <w:t xml:space="preserve">: </w:t>
            </w:r>
            <w:r w:rsidR="008F3290" w:rsidRPr="00E4529B">
              <w:rPr>
                <w:rFonts w:asciiTheme="minorHAnsi" w:hAnsiTheme="minorHAnsi" w:cstheme="minorHAnsi"/>
              </w:rPr>
              <w:t>Plan systematic instruction based on learner characteristics, interests, and ongoing assessment</w:t>
            </w:r>
          </w:p>
        </w:tc>
      </w:tr>
      <w:tr w:rsidR="003D7C2E" w:rsidRPr="00E4529B" w14:paraId="33E5CBA0" w14:textId="77777777" w:rsidTr="000F4E6E">
        <w:tc>
          <w:tcPr>
            <w:tcW w:w="11347" w:type="dxa"/>
            <w:shd w:val="clear" w:color="auto" w:fill="2E74B5" w:themeFill="accent1" w:themeFillShade="BF"/>
          </w:tcPr>
          <w:p w14:paraId="0D19DAA6" w14:textId="70849A69" w:rsidR="003D7C2E" w:rsidRPr="00E4529B" w:rsidRDefault="002F371F" w:rsidP="007E750E">
            <w:pPr>
              <w:contextualSpacing/>
              <w:rPr>
                <w:rFonts w:asciiTheme="minorHAnsi" w:hAnsiTheme="minorHAnsi" w:cstheme="minorHAnsi"/>
                <w:b/>
                <w:bCs/>
                <w:color w:val="FFFFFF" w:themeColor="background1"/>
              </w:rPr>
            </w:pPr>
            <w:r w:rsidRPr="00E4529B">
              <w:rPr>
                <w:rFonts w:asciiTheme="minorHAnsi" w:hAnsiTheme="minorHAnsi" w:cstheme="minorHAnsi"/>
                <w:b/>
                <w:bCs/>
                <w:color w:val="FFFFFF" w:themeColor="background1"/>
              </w:rPr>
              <w:t>Rationale (explain connection to above competency)</w:t>
            </w:r>
          </w:p>
        </w:tc>
      </w:tr>
      <w:tr w:rsidR="003D7C2E" w:rsidRPr="00E4529B" w14:paraId="49EDC260" w14:textId="77777777" w:rsidTr="000F4E6E">
        <w:tc>
          <w:tcPr>
            <w:tcW w:w="11347" w:type="dxa"/>
          </w:tcPr>
          <w:p w14:paraId="11C1913E" w14:textId="0D24935D" w:rsidR="001D7309" w:rsidRPr="00E4529B" w:rsidRDefault="00153B16" w:rsidP="007E750E">
            <w:pPr>
              <w:contextualSpacing/>
              <w:rPr>
                <w:rFonts w:asciiTheme="minorHAnsi" w:hAnsiTheme="minorHAnsi" w:cstheme="minorHAnsi"/>
              </w:rPr>
            </w:pPr>
            <w:r w:rsidRPr="00E4529B">
              <w:rPr>
                <w:rFonts w:asciiTheme="minorHAnsi" w:hAnsiTheme="minorHAnsi" w:cstheme="minorHAnsi"/>
              </w:rPr>
              <w:t xml:space="preserve">This article aligns with </w:t>
            </w:r>
            <w:r w:rsidRPr="00E4529B">
              <w:rPr>
                <w:rStyle w:val="Strong"/>
                <w:rFonts w:asciiTheme="minorHAnsi" w:hAnsiTheme="minorHAnsi" w:cstheme="minorHAnsi"/>
                <w:b w:val="0"/>
                <w:bCs w:val="0"/>
              </w:rPr>
              <w:t>Domain 1.12:</w:t>
            </w:r>
            <w:r w:rsidRPr="00E4529B">
              <w:rPr>
                <w:rStyle w:val="Strong"/>
                <w:rFonts w:asciiTheme="minorHAnsi" w:hAnsiTheme="minorHAnsi" w:cstheme="minorHAnsi"/>
              </w:rPr>
              <w:t xml:space="preserve"> </w:t>
            </w:r>
            <w:r w:rsidR="008F3290" w:rsidRPr="00E4529B">
              <w:rPr>
                <w:rFonts w:asciiTheme="minorHAnsi" w:hAnsiTheme="minorHAnsi" w:cstheme="minorHAnsi"/>
              </w:rPr>
              <w:t>Plan systematic instruction based on learner characteristics, interests, and ongoing assessment</w:t>
            </w:r>
            <w:r w:rsidRPr="00E4529B">
              <w:rPr>
                <w:rFonts w:asciiTheme="minorHAnsi" w:hAnsiTheme="minorHAnsi" w:cstheme="minorHAnsi"/>
                <w:b/>
                <w:bCs/>
              </w:rPr>
              <w:t>,</w:t>
            </w:r>
            <w:r w:rsidRPr="00E4529B">
              <w:rPr>
                <w:rFonts w:asciiTheme="minorHAnsi" w:hAnsiTheme="minorHAnsi" w:cstheme="minorHAnsi"/>
              </w:rPr>
              <w:t xml:space="preserve"> as it emphasizes how the learning environment influences student motivation, engagement, and learning strategies. In an inclusive classroom, this means instruction must be intentionally designed to meet diverse student needs rather than relying on a one-size-fits-all approach. The article reinforces that when the environment is supportive and responsive, students are more engaged and more likely to use effective learning strategies. This directly connects to my inclusive practices, where I use student data, interests, and supports to provide meaningful access to instruction for all learners.</w:t>
            </w:r>
          </w:p>
        </w:tc>
      </w:tr>
      <w:tr w:rsidR="003D7C2E" w:rsidRPr="00E4529B" w14:paraId="537FDDC3" w14:textId="77777777" w:rsidTr="000F4E6E">
        <w:tc>
          <w:tcPr>
            <w:tcW w:w="11347" w:type="dxa"/>
            <w:shd w:val="clear" w:color="auto" w:fill="2E74B5" w:themeFill="accent1" w:themeFillShade="BF"/>
          </w:tcPr>
          <w:p w14:paraId="4146C853" w14:textId="47C2C111" w:rsidR="003D7C2E" w:rsidRPr="00E4529B" w:rsidRDefault="00FA084D" w:rsidP="007E750E">
            <w:pPr>
              <w:contextualSpacing/>
              <w:rPr>
                <w:rFonts w:asciiTheme="minorHAnsi" w:hAnsiTheme="minorHAnsi" w:cstheme="minorHAnsi"/>
                <w:b/>
                <w:bCs/>
                <w:color w:val="FFFFFF" w:themeColor="background1"/>
              </w:rPr>
            </w:pPr>
            <w:r w:rsidRPr="00E4529B">
              <w:rPr>
                <w:rFonts w:asciiTheme="minorHAnsi" w:hAnsiTheme="minorHAnsi" w:cstheme="minorHAnsi"/>
                <w:b/>
                <w:bCs/>
                <w:color w:val="FFFFFF" w:themeColor="background1"/>
              </w:rPr>
              <w:t>Article Purpose</w:t>
            </w:r>
          </w:p>
        </w:tc>
      </w:tr>
      <w:tr w:rsidR="003D7C2E" w:rsidRPr="00E4529B" w14:paraId="279B49D5" w14:textId="77777777" w:rsidTr="000F4E6E">
        <w:tc>
          <w:tcPr>
            <w:tcW w:w="11347" w:type="dxa"/>
          </w:tcPr>
          <w:p w14:paraId="1EE739A6" w14:textId="019E8099" w:rsidR="003D7C2E" w:rsidRPr="00E4529B" w:rsidRDefault="00153B16" w:rsidP="007E750E">
            <w:pPr>
              <w:contextualSpacing/>
              <w:rPr>
                <w:rFonts w:asciiTheme="minorHAnsi" w:hAnsiTheme="minorHAnsi" w:cstheme="minorHAnsi"/>
              </w:rPr>
            </w:pPr>
            <w:r w:rsidRPr="00E4529B">
              <w:rPr>
                <w:rFonts w:asciiTheme="minorHAnsi" w:hAnsiTheme="minorHAnsi" w:cstheme="minorHAnsi"/>
              </w:rPr>
              <w:t>The purpose of this article is to examine how the learning environment influences students’ motivation, engagement, and use of learning strategies. It focuses on how classroom factors, including instructional practices and overall climate, impact how students participate in and persist with learning tasks. This is important for educators because it highlights that the environment itself plays a critical role in student success, not just the content being taught.</w:t>
            </w:r>
          </w:p>
        </w:tc>
      </w:tr>
      <w:tr w:rsidR="003D7C2E" w:rsidRPr="00E4529B" w14:paraId="78164A58" w14:textId="77777777" w:rsidTr="000F4E6E">
        <w:tc>
          <w:tcPr>
            <w:tcW w:w="11347" w:type="dxa"/>
            <w:shd w:val="clear" w:color="auto" w:fill="2E74B5" w:themeFill="accent1" w:themeFillShade="BF"/>
          </w:tcPr>
          <w:p w14:paraId="508E2460" w14:textId="68AC9D78" w:rsidR="003D7C2E" w:rsidRPr="00E4529B" w:rsidRDefault="00FA084D" w:rsidP="007E750E">
            <w:pPr>
              <w:contextualSpacing/>
              <w:jc w:val="both"/>
              <w:rPr>
                <w:rFonts w:asciiTheme="minorHAnsi" w:hAnsiTheme="minorHAnsi" w:cstheme="minorHAnsi"/>
                <w:b/>
                <w:bCs/>
                <w:i/>
                <w:iCs/>
                <w:color w:val="FFFFFF" w:themeColor="background1"/>
              </w:rPr>
            </w:pPr>
            <w:r w:rsidRPr="00E4529B">
              <w:rPr>
                <w:rFonts w:asciiTheme="minorHAnsi" w:hAnsiTheme="minorHAnsi" w:cstheme="minorHAnsi"/>
                <w:b/>
                <w:bCs/>
                <w:color w:val="FFFFFF" w:themeColor="background1"/>
              </w:rPr>
              <w:t>Five Key Findings</w:t>
            </w:r>
            <w:r w:rsidR="007E750E" w:rsidRPr="00E4529B">
              <w:rPr>
                <w:rFonts w:asciiTheme="minorHAnsi" w:hAnsiTheme="minorHAnsi" w:cstheme="minorHAnsi"/>
                <w:b/>
                <w:bCs/>
                <w:color w:val="FFFFFF" w:themeColor="background1"/>
              </w:rPr>
              <w:t xml:space="preserve"> Related to Your Practice –</w:t>
            </w:r>
            <w:r w:rsidR="007E750E" w:rsidRPr="00E4529B">
              <w:rPr>
                <w:rFonts w:asciiTheme="minorHAnsi" w:hAnsiTheme="minorHAnsi" w:cstheme="minorHAnsi"/>
                <w:b/>
                <w:bCs/>
                <w:i/>
                <w:iCs/>
                <w:color w:val="FFFFFF" w:themeColor="background1"/>
              </w:rPr>
              <w:t xml:space="preserve"> How might you apply the results in your setting?</w:t>
            </w:r>
          </w:p>
        </w:tc>
      </w:tr>
      <w:tr w:rsidR="003D7C2E" w:rsidRPr="00E4529B" w14:paraId="6A971966" w14:textId="77777777" w:rsidTr="000F4E6E">
        <w:tc>
          <w:tcPr>
            <w:tcW w:w="11347" w:type="dxa"/>
          </w:tcPr>
          <w:p w14:paraId="1CDD626E" w14:textId="0456FCFE" w:rsidR="00F17779" w:rsidRPr="00E4529B" w:rsidRDefault="00F17779" w:rsidP="00F17779">
            <w:pPr>
              <w:pStyle w:val="ListParagraph"/>
              <w:numPr>
                <w:ilvl w:val="0"/>
                <w:numId w:val="23"/>
              </w:numPr>
              <w:rPr>
                <w:rFonts w:cstheme="minorHAnsi"/>
              </w:rPr>
            </w:pPr>
            <w:r w:rsidRPr="00E4529B">
              <w:rPr>
                <w:rFonts w:cstheme="minorHAnsi"/>
              </w:rPr>
              <w:t xml:space="preserve">A supportive learning environment increases student engagement. Predictable routines and clear expectations help students participate confidently. </w:t>
            </w:r>
          </w:p>
          <w:p w14:paraId="683452EC" w14:textId="77777777" w:rsidR="00F17779" w:rsidRPr="00E4529B" w:rsidRDefault="00F17779" w:rsidP="00F17779">
            <w:pPr>
              <w:pStyle w:val="ListParagraph"/>
              <w:numPr>
                <w:ilvl w:val="0"/>
                <w:numId w:val="23"/>
              </w:numPr>
              <w:rPr>
                <w:rFonts w:cstheme="minorHAnsi"/>
              </w:rPr>
            </w:pPr>
            <w:r w:rsidRPr="00E4529B">
              <w:rPr>
                <w:rFonts w:cstheme="minorHAnsi"/>
              </w:rPr>
              <w:t xml:space="preserve">Teacher practices directly influence motivation. Consistent feedback, encouragement, and scaffolded support </w:t>
            </w:r>
            <w:r w:rsidRPr="00E4529B">
              <w:rPr>
                <w:rFonts w:cstheme="minorHAnsi"/>
              </w:rPr>
              <w:lastRenderedPageBreak/>
              <w:t xml:space="preserve">keep students engaged. </w:t>
            </w:r>
          </w:p>
          <w:p w14:paraId="4515C310" w14:textId="77777777" w:rsidR="00F17779" w:rsidRPr="00E4529B" w:rsidRDefault="00F17779" w:rsidP="00F17779">
            <w:pPr>
              <w:pStyle w:val="ListParagraph"/>
              <w:ind w:left="360"/>
              <w:rPr>
                <w:rFonts w:cstheme="minorHAnsi"/>
              </w:rPr>
            </w:pPr>
          </w:p>
          <w:p w14:paraId="3428E907" w14:textId="77777777" w:rsidR="00F17779" w:rsidRPr="00E4529B" w:rsidRDefault="00F17779" w:rsidP="00F17779">
            <w:pPr>
              <w:pStyle w:val="ListParagraph"/>
              <w:numPr>
                <w:ilvl w:val="0"/>
                <w:numId w:val="23"/>
              </w:numPr>
              <w:rPr>
                <w:rFonts w:cstheme="minorHAnsi"/>
              </w:rPr>
            </w:pPr>
            <w:r w:rsidRPr="00E4529B">
              <w:rPr>
                <w:rFonts w:cstheme="minorHAnsi"/>
              </w:rPr>
              <w:t xml:space="preserve">Active engagement improves learning outcomes. Hands-on activities, visuals, and collaborative opportunities support diverse learners. </w:t>
            </w:r>
          </w:p>
          <w:p w14:paraId="20807B0D" w14:textId="77777777" w:rsidR="00F17779" w:rsidRPr="00E4529B" w:rsidRDefault="00F17779" w:rsidP="00F17779">
            <w:pPr>
              <w:pStyle w:val="ListParagraph"/>
              <w:rPr>
                <w:rFonts w:cstheme="minorHAnsi"/>
              </w:rPr>
            </w:pPr>
          </w:p>
          <w:p w14:paraId="4BA7A7DA" w14:textId="77777777" w:rsidR="00F17779" w:rsidRPr="00E4529B" w:rsidRDefault="00F17779" w:rsidP="00F17779">
            <w:pPr>
              <w:pStyle w:val="ListParagraph"/>
              <w:numPr>
                <w:ilvl w:val="0"/>
                <w:numId w:val="23"/>
              </w:numPr>
              <w:rPr>
                <w:rFonts w:cstheme="minorHAnsi"/>
              </w:rPr>
            </w:pPr>
            <w:r w:rsidRPr="00E4529B">
              <w:rPr>
                <w:rFonts w:cstheme="minorHAnsi"/>
              </w:rPr>
              <w:t xml:space="preserve">Students perform better when they feel supported. Building relationships and creating a safe classroom culture fosters participation. </w:t>
            </w:r>
          </w:p>
          <w:p w14:paraId="79DF4550" w14:textId="77777777" w:rsidR="00F17779" w:rsidRPr="00E4529B" w:rsidRDefault="00F17779" w:rsidP="00F17779">
            <w:pPr>
              <w:pStyle w:val="ListParagraph"/>
              <w:rPr>
                <w:rFonts w:cstheme="minorHAnsi"/>
              </w:rPr>
            </w:pPr>
          </w:p>
          <w:p w14:paraId="0F988E48" w14:textId="2D059EBE" w:rsidR="00153B16" w:rsidRPr="00E4529B" w:rsidRDefault="00F17779" w:rsidP="00F17779">
            <w:pPr>
              <w:pStyle w:val="ListParagraph"/>
              <w:numPr>
                <w:ilvl w:val="0"/>
                <w:numId w:val="23"/>
              </w:numPr>
              <w:rPr>
                <w:rFonts w:cstheme="minorHAnsi"/>
              </w:rPr>
            </w:pPr>
            <w:r w:rsidRPr="00E4529B">
              <w:rPr>
                <w:rFonts w:cstheme="minorHAnsi"/>
              </w:rPr>
              <w:t>Students benefit from guidance in learning strategies. Explicit instruction in organization, self-monitoring, and task completion promotes independence.</w:t>
            </w:r>
          </w:p>
        </w:tc>
      </w:tr>
      <w:tr w:rsidR="003D7C2E" w:rsidRPr="00E4529B" w14:paraId="43D81F15" w14:textId="77777777" w:rsidTr="000F4E6E">
        <w:tc>
          <w:tcPr>
            <w:tcW w:w="11347" w:type="dxa"/>
            <w:shd w:val="clear" w:color="auto" w:fill="1F4E79" w:themeFill="accent1" w:themeFillShade="80"/>
          </w:tcPr>
          <w:p w14:paraId="3C9BE620" w14:textId="67426572" w:rsidR="003D7C2E" w:rsidRPr="00E4529B" w:rsidRDefault="003D7C2E" w:rsidP="007E750E">
            <w:pPr>
              <w:contextualSpacing/>
              <w:jc w:val="right"/>
              <w:rPr>
                <w:rFonts w:asciiTheme="minorHAnsi" w:hAnsiTheme="minorHAnsi" w:cstheme="minorHAnsi"/>
              </w:rPr>
            </w:pPr>
            <w:r w:rsidRPr="00E4529B">
              <w:rPr>
                <w:rStyle w:val="Strong"/>
                <w:rFonts w:asciiTheme="minorHAnsi" w:hAnsiTheme="minorHAnsi" w:cstheme="minorHAnsi"/>
                <w:color w:val="FFFFFF" w:themeColor="background1"/>
              </w:rPr>
              <w:lastRenderedPageBreak/>
              <w:t>Article TWO</w:t>
            </w:r>
          </w:p>
        </w:tc>
      </w:tr>
      <w:tr w:rsidR="003D7C2E" w:rsidRPr="00E4529B" w14:paraId="3652B29E" w14:textId="77777777" w:rsidTr="000F4E6E">
        <w:tc>
          <w:tcPr>
            <w:tcW w:w="11347" w:type="dxa"/>
            <w:shd w:val="clear" w:color="auto" w:fill="2E74B5" w:themeFill="accent1" w:themeFillShade="BF"/>
          </w:tcPr>
          <w:p w14:paraId="4FE59A06" w14:textId="08C9508C" w:rsidR="003D7C2E" w:rsidRPr="00E4529B" w:rsidRDefault="003D7C2E" w:rsidP="007E750E">
            <w:pPr>
              <w:contextualSpacing/>
              <w:rPr>
                <w:rFonts w:asciiTheme="minorHAnsi" w:hAnsiTheme="minorHAnsi" w:cstheme="minorHAnsi"/>
              </w:rPr>
            </w:pPr>
            <w:r w:rsidRPr="00E4529B">
              <w:rPr>
                <w:rFonts w:asciiTheme="minorHAnsi" w:hAnsiTheme="minorHAnsi" w:cstheme="minorHAnsi"/>
                <w:b/>
                <w:bCs/>
                <w:color w:val="FFFFFF" w:themeColor="background1"/>
              </w:rPr>
              <w:t>APA Citation (3–5-year timeframe)</w:t>
            </w:r>
          </w:p>
        </w:tc>
      </w:tr>
      <w:tr w:rsidR="003D7C2E" w:rsidRPr="00E4529B" w14:paraId="11601F53" w14:textId="77777777" w:rsidTr="000F4E6E">
        <w:tc>
          <w:tcPr>
            <w:tcW w:w="11347" w:type="dxa"/>
          </w:tcPr>
          <w:p w14:paraId="0604528D" w14:textId="77777777" w:rsidR="00E61E89" w:rsidRPr="00E4529B" w:rsidRDefault="00E61E89" w:rsidP="007E750E">
            <w:pPr>
              <w:contextualSpacing/>
              <w:rPr>
                <w:rFonts w:asciiTheme="minorHAnsi" w:hAnsiTheme="minorHAnsi" w:cstheme="minorHAnsi"/>
              </w:rPr>
            </w:pPr>
            <w:r w:rsidRPr="00E4529B">
              <w:rPr>
                <w:rFonts w:asciiTheme="minorHAnsi" w:hAnsiTheme="minorHAnsi" w:cstheme="minorHAnsi"/>
              </w:rPr>
              <w:t xml:space="preserve">Rusticus, S. A., </w:t>
            </w:r>
            <w:proofErr w:type="spellStart"/>
            <w:r w:rsidRPr="00E4529B">
              <w:rPr>
                <w:rFonts w:asciiTheme="minorHAnsi" w:hAnsiTheme="minorHAnsi" w:cstheme="minorHAnsi"/>
              </w:rPr>
              <w:t>Pashootan</w:t>
            </w:r>
            <w:proofErr w:type="spellEnd"/>
            <w:r w:rsidRPr="00E4529B">
              <w:rPr>
                <w:rFonts w:asciiTheme="minorHAnsi" w:hAnsiTheme="minorHAnsi" w:cstheme="minorHAnsi"/>
              </w:rPr>
              <w:t xml:space="preserve">, T., &amp; Mah, A. (2023). What are the key elements of a positive learning </w:t>
            </w:r>
          </w:p>
          <w:p w14:paraId="133711F2" w14:textId="77777777" w:rsidR="00E61E89" w:rsidRPr="00E4529B" w:rsidRDefault="00E61E89" w:rsidP="007E750E">
            <w:pPr>
              <w:contextualSpacing/>
              <w:rPr>
                <w:rFonts w:asciiTheme="minorHAnsi" w:hAnsiTheme="minorHAnsi" w:cstheme="minorHAnsi"/>
              </w:rPr>
            </w:pPr>
          </w:p>
          <w:p w14:paraId="2D5EA1BE" w14:textId="72B0B20C" w:rsidR="00E61E89" w:rsidRPr="00E4529B" w:rsidRDefault="00E61E89" w:rsidP="007E750E">
            <w:pPr>
              <w:contextualSpacing/>
              <w:rPr>
                <w:rFonts w:asciiTheme="minorHAnsi" w:hAnsiTheme="minorHAnsi" w:cstheme="minorHAnsi"/>
              </w:rPr>
            </w:pPr>
            <w:r w:rsidRPr="00E4529B">
              <w:rPr>
                <w:rFonts w:asciiTheme="minorHAnsi" w:hAnsiTheme="minorHAnsi" w:cstheme="minorHAnsi"/>
              </w:rPr>
              <w:t xml:space="preserve">     environment? Perspectives from students and faculty. </w:t>
            </w:r>
            <w:r w:rsidRPr="00E4529B">
              <w:rPr>
                <w:rStyle w:val="Emphasis"/>
                <w:rFonts w:asciiTheme="minorHAnsi" w:hAnsiTheme="minorHAnsi" w:cstheme="minorHAnsi"/>
              </w:rPr>
              <w:t>Learning Environments Research, 26</w:t>
            </w:r>
            <w:r w:rsidRPr="00E4529B">
              <w:rPr>
                <w:rFonts w:asciiTheme="minorHAnsi" w:hAnsiTheme="minorHAnsi" w:cstheme="minorHAnsi"/>
              </w:rPr>
              <w:t xml:space="preserve">(1), 161–175. </w:t>
            </w:r>
          </w:p>
          <w:p w14:paraId="3538B1F6" w14:textId="77777777" w:rsidR="00E61E89" w:rsidRPr="00E4529B" w:rsidRDefault="00E61E89" w:rsidP="007E750E">
            <w:pPr>
              <w:contextualSpacing/>
              <w:rPr>
                <w:rFonts w:asciiTheme="minorHAnsi" w:hAnsiTheme="minorHAnsi" w:cstheme="minorHAnsi"/>
              </w:rPr>
            </w:pPr>
          </w:p>
          <w:p w14:paraId="671E52EC" w14:textId="1ACEA26B" w:rsidR="003D7C2E" w:rsidRPr="00E4529B" w:rsidRDefault="00E61E89" w:rsidP="007E750E">
            <w:pPr>
              <w:contextualSpacing/>
              <w:rPr>
                <w:rFonts w:asciiTheme="minorHAnsi" w:hAnsiTheme="minorHAnsi" w:cstheme="minorHAnsi"/>
              </w:rPr>
            </w:pPr>
            <w:r w:rsidRPr="00E4529B">
              <w:rPr>
                <w:rFonts w:asciiTheme="minorHAnsi" w:hAnsiTheme="minorHAnsi" w:cstheme="minorHAnsi"/>
              </w:rPr>
              <w:t xml:space="preserve">     </w:t>
            </w:r>
            <w:hyperlink r:id="rId9" w:history="1">
              <w:r w:rsidRPr="00E4529B">
                <w:rPr>
                  <w:rStyle w:val="Hyperlink"/>
                  <w:rFonts w:asciiTheme="minorHAnsi" w:hAnsiTheme="minorHAnsi" w:cstheme="minorHAnsi"/>
                </w:rPr>
                <w:t>https://doi.org/10.1007/s10984-022-09410-4</w:t>
              </w:r>
            </w:hyperlink>
          </w:p>
        </w:tc>
      </w:tr>
      <w:tr w:rsidR="003D7C2E" w:rsidRPr="00E4529B" w14:paraId="7BC97BF7" w14:textId="77777777" w:rsidTr="000F4E6E">
        <w:tc>
          <w:tcPr>
            <w:tcW w:w="11347" w:type="dxa"/>
            <w:shd w:val="clear" w:color="auto" w:fill="2E74B5" w:themeFill="accent1" w:themeFillShade="BF"/>
          </w:tcPr>
          <w:p w14:paraId="6A3E86E2" w14:textId="2E23B38C" w:rsidR="003D7C2E" w:rsidRPr="00E4529B" w:rsidRDefault="003D7C2E" w:rsidP="007E750E">
            <w:pPr>
              <w:contextualSpacing/>
              <w:rPr>
                <w:rFonts w:asciiTheme="minorHAnsi" w:hAnsiTheme="minorHAnsi" w:cstheme="minorHAnsi"/>
              </w:rPr>
            </w:pPr>
            <w:r w:rsidRPr="00E4529B">
              <w:rPr>
                <w:rFonts w:asciiTheme="minorHAnsi" w:hAnsiTheme="minorHAnsi" w:cstheme="minorHAnsi"/>
                <w:b/>
                <w:bCs/>
                <w:color w:val="FFFFFF" w:themeColor="background1"/>
              </w:rPr>
              <w:t>Permalink from the KU Library</w:t>
            </w:r>
          </w:p>
        </w:tc>
      </w:tr>
      <w:tr w:rsidR="003D7C2E" w:rsidRPr="00E4529B" w14:paraId="34079CFF" w14:textId="77777777" w:rsidTr="000F4E6E">
        <w:tc>
          <w:tcPr>
            <w:tcW w:w="11347" w:type="dxa"/>
          </w:tcPr>
          <w:p w14:paraId="1FE51FF4" w14:textId="66E72ED2" w:rsidR="003D7C2E" w:rsidRPr="00E4529B" w:rsidRDefault="00E61E89" w:rsidP="007E750E">
            <w:pPr>
              <w:contextualSpacing/>
              <w:rPr>
                <w:rFonts w:asciiTheme="minorHAnsi" w:hAnsiTheme="minorHAnsi" w:cstheme="minorHAnsi"/>
              </w:rPr>
            </w:pPr>
            <w:r w:rsidRPr="00E4529B">
              <w:rPr>
                <w:rFonts w:asciiTheme="minorHAnsi" w:hAnsiTheme="minorHAnsi" w:cstheme="minorHAnsi"/>
              </w:rPr>
              <w:t>https://kuprimo.hosted.exlibrisgroup.com/permalink/f/1ik10ij/TN_cdi_proquest_journals_2782555620</w:t>
            </w:r>
          </w:p>
        </w:tc>
      </w:tr>
      <w:tr w:rsidR="003D7C2E" w:rsidRPr="00E4529B" w14:paraId="44A7CA65" w14:textId="77777777" w:rsidTr="000F4E6E">
        <w:tc>
          <w:tcPr>
            <w:tcW w:w="11347" w:type="dxa"/>
            <w:shd w:val="clear" w:color="auto" w:fill="2E74B5" w:themeFill="accent1" w:themeFillShade="BF"/>
          </w:tcPr>
          <w:p w14:paraId="6C319180" w14:textId="2AABCD8A" w:rsidR="003D7C2E" w:rsidRPr="00E4529B" w:rsidRDefault="003D7C2E" w:rsidP="007E750E">
            <w:pPr>
              <w:contextualSpacing/>
              <w:rPr>
                <w:rFonts w:asciiTheme="minorHAnsi" w:hAnsiTheme="minorHAnsi" w:cstheme="minorHAnsi"/>
              </w:rPr>
            </w:pPr>
            <w:r w:rsidRPr="00E4529B">
              <w:rPr>
                <w:rFonts w:asciiTheme="minorHAnsi" w:hAnsiTheme="minorHAnsi" w:cstheme="minorHAnsi"/>
                <w:b/>
                <w:bCs/>
                <w:color w:val="FFFFFF" w:themeColor="background1"/>
              </w:rPr>
              <w:t>Associated Competency</w:t>
            </w:r>
          </w:p>
        </w:tc>
      </w:tr>
      <w:tr w:rsidR="003D7C2E" w:rsidRPr="00E4529B" w14:paraId="5C98C76D" w14:textId="77777777" w:rsidTr="000F4E6E">
        <w:tc>
          <w:tcPr>
            <w:tcW w:w="11347" w:type="dxa"/>
          </w:tcPr>
          <w:p w14:paraId="18966476" w14:textId="02912DCC" w:rsidR="003D7C2E" w:rsidRPr="00E4529B" w:rsidRDefault="008F3290" w:rsidP="007E750E">
            <w:pPr>
              <w:contextualSpacing/>
              <w:rPr>
                <w:rFonts w:asciiTheme="minorHAnsi" w:hAnsiTheme="minorHAnsi" w:cstheme="minorHAnsi"/>
              </w:rPr>
            </w:pPr>
            <w:r w:rsidRPr="00E4529B">
              <w:rPr>
                <w:rStyle w:val="Strong"/>
                <w:rFonts w:asciiTheme="minorHAnsi" w:hAnsiTheme="minorHAnsi" w:cstheme="minorHAnsi"/>
                <w:b w:val="0"/>
                <w:bCs w:val="0"/>
              </w:rPr>
              <w:t xml:space="preserve">Domain 1.9 </w:t>
            </w:r>
            <w:r w:rsidRPr="00E4529B">
              <w:rPr>
                <w:rStyle w:val="Strong"/>
                <w:rFonts w:asciiTheme="minorHAnsi" w:hAnsiTheme="minorHAnsi" w:cstheme="minorHAnsi"/>
              </w:rPr>
              <w:t xml:space="preserve">: </w:t>
            </w:r>
            <w:r w:rsidRPr="00E4529B">
              <w:rPr>
                <w:rFonts w:asciiTheme="minorHAnsi" w:hAnsiTheme="minorHAnsi" w:cstheme="minorHAnsi"/>
              </w:rPr>
              <w:t>Knowledge of the effect of self-regulation on learning and behavior</w:t>
            </w:r>
          </w:p>
        </w:tc>
      </w:tr>
      <w:tr w:rsidR="003D7C2E" w:rsidRPr="00E4529B" w14:paraId="4E1CF9A0" w14:textId="77777777" w:rsidTr="000F4E6E">
        <w:tc>
          <w:tcPr>
            <w:tcW w:w="11347" w:type="dxa"/>
            <w:shd w:val="clear" w:color="auto" w:fill="2E74B5" w:themeFill="accent1" w:themeFillShade="BF"/>
          </w:tcPr>
          <w:p w14:paraId="42B8FF0A" w14:textId="535BBE55" w:rsidR="003D7C2E" w:rsidRPr="00E4529B" w:rsidRDefault="002F371F" w:rsidP="007E750E">
            <w:pPr>
              <w:contextualSpacing/>
              <w:rPr>
                <w:rFonts w:asciiTheme="minorHAnsi" w:hAnsiTheme="minorHAnsi" w:cstheme="minorHAnsi"/>
              </w:rPr>
            </w:pPr>
            <w:r w:rsidRPr="00E4529B">
              <w:rPr>
                <w:rFonts w:asciiTheme="minorHAnsi" w:hAnsiTheme="minorHAnsi" w:cstheme="minorHAnsi"/>
                <w:b/>
                <w:bCs/>
                <w:color w:val="FFFFFF" w:themeColor="background1"/>
              </w:rPr>
              <w:t>Rationale (explain connection to above competency)</w:t>
            </w:r>
          </w:p>
        </w:tc>
      </w:tr>
      <w:tr w:rsidR="003D7C2E" w:rsidRPr="00E4529B" w14:paraId="4863CA42" w14:textId="77777777" w:rsidTr="000F4E6E">
        <w:tc>
          <w:tcPr>
            <w:tcW w:w="11347" w:type="dxa"/>
          </w:tcPr>
          <w:p w14:paraId="6DCF6508" w14:textId="24437746" w:rsidR="003D7C2E" w:rsidRPr="00E4529B" w:rsidRDefault="008F3290" w:rsidP="008F3290">
            <w:pPr>
              <w:pStyle w:val="NormalWeb"/>
              <w:rPr>
                <w:rFonts w:asciiTheme="minorHAnsi" w:hAnsiTheme="minorHAnsi" w:cstheme="minorHAnsi"/>
                <w:sz w:val="22"/>
                <w:szCs w:val="22"/>
              </w:rPr>
            </w:pPr>
            <w:r w:rsidRPr="00E4529B">
              <w:rPr>
                <w:rFonts w:asciiTheme="minorHAnsi" w:hAnsiTheme="minorHAnsi" w:cstheme="minorHAnsi"/>
                <w:sz w:val="22"/>
                <w:szCs w:val="22"/>
              </w:rPr>
              <w:t xml:space="preserve">This article aligns most strongly with </w:t>
            </w:r>
            <w:r w:rsidRPr="00E4529B">
              <w:rPr>
                <w:rStyle w:val="Strong"/>
                <w:rFonts w:asciiTheme="minorHAnsi" w:hAnsiTheme="minorHAnsi" w:cstheme="minorHAnsi"/>
                <w:b w:val="0"/>
                <w:bCs w:val="0"/>
                <w:sz w:val="22"/>
                <w:szCs w:val="22"/>
              </w:rPr>
              <w:t>Domain 1.9,</w:t>
            </w:r>
            <w:r w:rsidRPr="00E4529B">
              <w:rPr>
                <w:rStyle w:val="Strong"/>
                <w:rFonts w:asciiTheme="minorHAnsi" w:hAnsiTheme="minorHAnsi" w:cstheme="minorHAnsi"/>
                <w:sz w:val="22"/>
                <w:szCs w:val="22"/>
              </w:rPr>
              <w:t xml:space="preserve"> </w:t>
            </w:r>
            <w:r w:rsidRPr="00E4529B">
              <w:rPr>
                <w:rStyle w:val="Strong"/>
                <w:rFonts w:asciiTheme="minorHAnsi" w:hAnsiTheme="minorHAnsi" w:cstheme="minorHAnsi"/>
                <w:b w:val="0"/>
                <w:bCs w:val="0"/>
                <w:sz w:val="22"/>
                <w:szCs w:val="22"/>
              </w:rPr>
              <w:t>knowledge of the effect of self-regulation on learning and behavior,</w:t>
            </w:r>
            <w:r w:rsidRPr="00E4529B">
              <w:rPr>
                <w:rFonts w:asciiTheme="minorHAnsi" w:hAnsiTheme="minorHAnsi" w:cstheme="minorHAnsi"/>
                <w:b/>
                <w:bCs/>
                <w:sz w:val="22"/>
                <w:szCs w:val="22"/>
              </w:rPr>
              <w:t xml:space="preserve"> </w:t>
            </w:r>
            <w:r w:rsidRPr="00E4529B">
              <w:rPr>
                <w:rFonts w:asciiTheme="minorHAnsi" w:hAnsiTheme="minorHAnsi" w:cstheme="minorHAnsi"/>
                <w:sz w:val="22"/>
                <w:szCs w:val="22"/>
              </w:rPr>
              <w:t>because it highlights how elements of the learning environment—such as relationships, structure, and classroom climate—directly impact students’ ability to self-regulate. Factors like clear expectations, emotional safety, and supportive teacher-student relationships influence how students manage their behavior, attention, and engagement. In an inclusive classroom, self-regulation is critical for student success, especially for students who may need additional support in this area. This connects to my practice by reinforcing the importance of intentionally creating an environment that supports regulation through predictable routines, positive relationships, and responsive supports.</w:t>
            </w:r>
          </w:p>
        </w:tc>
      </w:tr>
      <w:tr w:rsidR="003D7C2E" w:rsidRPr="00E4529B" w14:paraId="081F4DFA" w14:textId="77777777" w:rsidTr="000F4E6E">
        <w:tc>
          <w:tcPr>
            <w:tcW w:w="11347" w:type="dxa"/>
            <w:shd w:val="clear" w:color="auto" w:fill="2E74B5" w:themeFill="accent1" w:themeFillShade="BF"/>
          </w:tcPr>
          <w:p w14:paraId="0BB05E53" w14:textId="41E3834E" w:rsidR="003D7C2E" w:rsidRPr="00E4529B" w:rsidRDefault="00FA084D" w:rsidP="007E750E">
            <w:pPr>
              <w:contextualSpacing/>
              <w:rPr>
                <w:rFonts w:asciiTheme="minorHAnsi" w:hAnsiTheme="minorHAnsi" w:cstheme="minorHAnsi"/>
              </w:rPr>
            </w:pPr>
            <w:r w:rsidRPr="00E4529B">
              <w:rPr>
                <w:rFonts w:asciiTheme="minorHAnsi" w:hAnsiTheme="minorHAnsi" w:cstheme="minorHAnsi"/>
                <w:b/>
                <w:bCs/>
                <w:color w:val="FFFFFF" w:themeColor="background1"/>
              </w:rPr>
              <w:t>Article Purpose</w:t>
            </w:r>
          </w:p>
        </w:tc>
      </w:tr>
      <w:tr w:rsidR="003D7C2E" w:rsidRPr="00E4529B" w14:paraId="6B4C9F81" w14:textId="77777777" w:rsidTr="000F4E6E">
        <w:tc>
          <w:tcPr>
            <w:tcW w:w="11347" w:type="dxa"/>
          </w:tcPr>
          <w:p w14:paraId="5FD436F1" w14:textId="15CC779A" w:rsidR="003D7C2E" w:rsidRPr="00E4529B" w:rsidRDefault="008F3290" w:rsidP="007E750E">
            <w:pPr>
              <w:contextualSpacing/>
              <w:rPr>
                <w:rFonts w:asciiTheme="minorHAnsi" w:hAnsiTheme="minorHAnsi" w:cstheme="minorHAnsi"/>
              </w:rPr>
            </w:pPr>
            <w:r w:rsidRPr="00E4529B">
              <w:rPr>
                <w:rFonts w:asciiTheme="minorHAnsi" w:hAnsiTheme="minorHAnsi" w:cstheme="minorHAnsi"/>
              </w:rPr>
              <w:t>The purpose of this article is to explore, from both student and faculty perspectives, the key elements that contribute to a positive learning environment and those that may hinder learning. It examines how classroom factors such as relationships, expectations, and overall climate influence student experiences. This is significant for educators because it shows that the learning environment plays a major role in students’ ability to regulate their behavior and engagement, which directly impacts their ability to learn and participate successfully in the classroom.</w:t>
            </w:r>
          </w:p>
        </w:tc>
      </w:tr>
      <w:tr w:rsidR="003D7C2E" w:rsidRPr="00E4529B" w14:paraId="520F71DF" w14:textId="77777777" w:rsidTr="000F4E6E">
        <w:tc>
          <w:tcPr>
            <w:tcW w:w="11347" w:type="dxa"/>
            <w:shd w:val="clear" w:color="auto" w:fill="2E74B5" w:themeFill="accent1" w:themeFillShade="BF"/>
          </w:tcPr>
          <w:p w14:paraId="2FFE83B5" w14:textId="630643BC" w:rsidR="003D7C2E" w:rsidRPr="00E4529B" w:rsidRDefault="007E750E" w:rsidP="007E750E">
            <w:pPr>
              <w:contextualSpacing/>
              <w:rPr>
                <w:rFonts w:asciiTheme="minorHAnsi" w:hAnsiTheme="minorHAnsi" w:cstheme="minorHAnsi"/>
              </w:rPr>
            </w:pPr>
            <w:r w:rsidRPr="00E4529B">
              <w:rPr>
                <w:rFonts w:asciiTheme="minorHAnsi" w:hAnsiTheme="minorHAnsi" w:cstheme="minorHAnsi"/>
                <w:b/>
                <w:bCs/>
                <w:color w:val="FFFFFF" w:themeColor="background1"/>
              </w:rPr>
              <w:lastRenderedPageBreak/>
              <w:t>Five Key Findings Related to Your Practice –</w:t>
            </w:r>
            <w:r w:rsidRPr="00E4529B">
              <w:rPr>
                <w:rFonts w:asciiTheme="minorHAnsi" w:hAnsiTheme="minorHAnsi" w:cstheme="minorHAnsi"/>
                <w:b/>
                <w:bCs/>
                <w:i/>
                <w:iCs/>
                <w:color w:val="FFFFFF" w:themeColor="background1"/>
              </w:rPr>
              <w:t xml:space="preserve"> How might you apply the results in your setting?</w:t>
            </w:r>
          </w:p>
        </w:tc>
      </w:tr>
      <w:tr w:rsidR="003D7C2E" w:rsidRPr="00E4529B" w14:paraId="1E815B70" w14:textId="77777777" w:rsidTr="000F4E6E">
        <w:tc>
          <w:tcPr>
            <w:tcW w:w="11347" w:type="dxa"/>
          </w:tcPr>
          <w:p w14:paraId="2B75F61A" w14:textId="77777777" w:rsidR="00F17779" w:rsidRPr="00E4529B" w:rsidRDefault="00F17779" w:rsidP="00F17779">
            <w:pPr>
              <w:pStyle w:val="ListParagraph"/>
              <w:numPr>
                <w:ilvl w:val="0"/>
                <w:numId w:val="22"/>
              </w:numPr>
              <w:rPr>
                <w:rFonts w:cstheme="minorHAnsi"/>
              </w:rPr>
            </w:pPr>
            <w:r w:rsidRPr="00E4529B">
              <w:rPr>
                <w:rFonts w:cstheme="minorHAnsi"/>
              </w:rPr>
              <w:t>Positive relationships support self-regulation. Strong teacher-student connections help students manage behavior and emotions.</w:t>
            </w:r>
          </w:p>
          <w:p w14:paraId="6E84811D" w14:textId="77777777" w:rsidR="00F17779" w:rsidRPr="00E4529B" w:rsidRDefault="00F17779" w:rsidP="00F17779">
            <w:pPr>
              <w:pStyle w:val="ListParagraph"/>
              <w:rPr>
                <w:rFonts w:cstheme="minorHAnsi"/>
              </w:rPr>
            </w:pPr>
          </w:p>
          <w:p w14:paraId="676F1989" w14:textId="77777777" w:rsidR="00F17779" w:rsidRPr="00E4529B" w:rsidRDefault="00F17779" w:rsidP="00F17779">
            <w:pPr>
              <w:pStyle w:val="ListParagraph"/>
              <w:numPr>
                <w:ilvl w:val="0"/>
                <w:numId w:val="22"/>
              </w:numPr>
              <w:rPr>
                <w:rFonts w:cstheme="minorHAnsi"/>
              </w:rPr>
            </w:pPr>
            <w:r w:rsidRPr="00E4529B">
              <w:rPr>
                <w:rFonts w:cstheme="minorHAnsi"/>
              </w:rPr>
              <w:t>Clear structure and expectations improve regulation. Predictable routines and explicit rules support students who struggle with attention or behavior.</w:t>
            </w:r>
          </w:p>
          <w:p w14:paraId="42033474" w14:textId="77777777" w:rsidR="00F17779" w:rsidRPr="00E4529B" w:rsidRDefault="00F17779" w:rsidP="00F17779">
            <w:pPr>
              <w:pStyle w:val="ListParagraph"/>
              <w:rPr>
                <w:rFonts w:cstheme="minorHAnsi"/>
              </w:rPr>
            </w:pPr>
          </w:p>
          <w:p w14:paraId="2C3391A9" w14:textId="77777777" w:rsidR="00F17779" w:rsidRPr="00E4529B" w:rsidRDefault="00F17779" w:rsidP="00F17779">
            <w:pPr>
              <w:pStyle w:val="ListParagraph"/>
              <w:numPr>
                <w:ilvl w:val="0"/>
                <w:numId w:val="22"/>
              </w:numPr>
              <w:rPr>
                <w:rFonts w:cstheme="minorHAnsi"/>
              </w:rPr>
            </w:pPr>
            <w:r w:rsidRPr="00E4529B">
              <w:rPr>
                <w:rFonts w:cstheme="minorHAnsi"/>
              </w:rPr>
              <w:t>Emotional safety impacts engagement and behavior. Students who feel respected and supported are less likely to dysregulate.</w:t>
            </w:r>
          </w:p>
          <w:p w14:paraId="3BF5170B" w14:textId="77777777" w:rsidR="00F17779" w:rsidRPr="00E4529B" w:rsidRDefault="00F17779" w:rsidP="00F17779">
            <w:pPr>
              <w:pStyle w:val="ListParagraph"/>
              <w:rPr>
                <w:rFonts w:cstheme="minorHAnsi"/>
              </w:rPr>
            </w:pPr>
          </w:p>
          <w:p w14:paraId="5167C1A8" w14:textId="77777777" w:rsidR="00F17779" w:rsidRPr="00E4529B" w:rsidRDefault="00F17779" w:rsidP="00F17779">
            <w:pPr>
              <w:pStyle w:val="ListParagraph"/>
              <w:numPr>
                <w:ilvl w:val="0"/>
                <w:numId w:val="22"/>
              </w:numPr>
              <w:rPr>
                <w:rFonts w:cstheme="minorHAnsi"/>
              </w:rPr>
            </w:pPr>
            <w:r w:rsidRPr="00E4529B">
              <w:rPr>
                <w:rFonts w:cstheme="minorHAnsi"/>
              </w:rPr>
              <w:t>Student perspectives reveal what helps or hinders regulation. Using feedback and observation allows supports to be adjusted effectively.</w:t>
            </w:r>
          </w:p>
          <w:p w14:paraId="2110FA11" w14:textId="77777777" w:rsidR="00F17779" w:rsidRPr="00E4529B" w:rsidRDefault="00F17779" w:rsidP="00F17779">
            <w:pPr>
              <w:pStyle w:val="ListParagraph"/>
              <w:rPr>
                <w:rFonts w:cstheme="minorHAnsi"/>
              </w:rPr>
            </w:pPr>
          </w:p>
          <w:p w14:paraId="7E6FB50B" w14:textId="147D2BE4" w:rsidR="00E61E89" w:rsidRPr="00E4529B" w:rsidRDefault="00F17779" w:rsidP="00F17779">
            <w:pPr>
              <w:pStyle w:val="ListParagraph"/>
              <w:numPr>
                <w:ilvl w:val="0"/>
                <w:numId w:val="22"/>
              </w:numPr>
              <w:rPr>
                <w:rFonts w:cstheme="minorHAnsi"/>
              </w:rPr>
            </w:pPr>
            <w:r w:rsidRPr="00E4529B">
              <w:rPr>
                <w:rFonts w:cstheme="minorHAnsi"/>
              </w:rPr>
              <w:t>Misalignment between environment and student needs can lead to dysregulation. Accommodations, sensory supports, and instructional strategies should match individual needs.</w:t>
            </w:r>
          </w:p>
        </w:tc>
      </w:tr>
      <w:tr w:rsidR="003D7C2E" w:rsidRPr="00E4529B" w14:paraId="3EB79574" w14:textId="77777777" w:rsidTr="000F4E6E">
        <w:tc>
          <w:tcPr>
            <w:tcW w:w="11347" w:type="dxa"/>
            <w:shd w:val="clear" w:color="auto" w:fill="1F4E79" w:themeFill="accent1" w:themeFillShade="80"/>
          </w:tcPr>
          <w:p w14:paraId="1723426A" w14:textId="546E355D" w:rsidR="003D7C2E" w:rsidRPr="00E4529B" w:rsidRDefault="003D7C2E" w:rsidP="007E750E">
            <w:pPr>
              <w:contextualSpacing/>
              <w:jc w:val="right"/>
              <w:rPr>
                <w:rFonts w:asciiTheme="minorHAnsi" w:hAnsiTheme="minorHAnsi" w:cstheme="minorHAnsi"/>
              </w:rPr>
            </w:pPr>
            <w:r w:rsidRPr="00E4529B">
              <w:rPr>
                <w:rStyle w:val="Strong"/>
                <w:rFonts w:asciiTheme="minorHAnsi" w:hAnsiTheme="minorHAnsi" w:cstheme="minorHAnsi"/>
                <w:color w:val="FFFFFF" w:themeColor="background1"/>
              </w:rPr>
              <w:t>Article THREE</w:t>
            </w:r>
          </w:p>
        </w:tc>
      </w:tr>
      <w:tr w:rsidR="003D7C2E" w:rsidRPr="00E4529B" w14:paraId="65B6CA52" w14:textId="77777777" w:rsidTr="000F4E6E">
        <w:tc>
          <w:tcPr>
            <w:tcW w:w="11347" w:type="dxa"/>
            <w:shd w:val="clear" w:color="auto" w:fill="2E74B5" w:themeFill="accent1" w:themeFillShade="BF"/>
          </w:tcPr>
          <w:p w14:paraId="6459D7C0" w14:textId="34679BF7" w:rsidR="003D7C2E" w:rsidRPr="00E4529B" w:rsidRDefault="003D7C2E" w:rsidP="007E750E">
            <w:pPr>
              <w:contextualSpacing/>
              <w:rPr>
                <w:rFonts w:asciiTheme="minorHAnsi" w:hAnsiTheme="minorHAnsi" w:cstheme="minorHAnsi"/>
              </w:rPr>
            </w:pPr>
            <w:r w:rsidRPr="00E4529B">
              <w:rPr>
                <w:rFonts w:asciiTheme="minorHAnsi" w:hAnsiTheme="minorHAnsi" w:cstheme="minorHAnsi"/>
                <w:b/>
                <w:bCs/>
                <w:color w:val="FFFFFF" w:themeColor="background1"/>
              </w:rPr>
              <w:t>APA Citation (3–5-year timeframe)</w:t>
            </w:r>
          </w:p>
        </w:tc>
      </w:tr>
      <w:tr w:rsidR="003D7C2E" w:rsidRPr="00E4529B" w14:paraId="2793A322" w14:textId="77777777" w:rsidTr="000F4E6E">
        <w:tc>
          <w:tcPr>
            <w:tcW w:w="11347" w:type="dxa"/>
          </w:tcPr>
          <w:p w14:paraId="60730678" w14:textId="77777777" w:rsidR="00F102EB" w:rsidRPr="00E4529B" w:rsidRDefault="00F102EB" w:rsidP="00F102EB">
            <w:pPr>
              <w:rPr>
                <w:rFonts w:asciiTheme="minorHAnsi" w:hAnsiTheme="minorHAnsi" w:cstheme="minorHAnsi"/>
              </w:rPr>
            </w:pPr>
            <w:r w:rsidRPr="00E4529B">
              <w:rPr>
                <w:rFonts w:asciiTheme="minorHAnsi" w:hAnsiTheme="minorHAnsi" w:cstheme="minorHAnsi"/>
              </w:rPr>
              <w:t xml:space="preserve">Gascoigne, M. (2024). Meeting speech, language and communication needs: a whole-systems, population-based </w:t>
            </w:r>
          </w:p>
          <w:p w14:paraId="2AA3945E" w14:textId="77777777" w:rsidR="00F102EB" w:rsidRPr="00E4529B" w:rsidRDefault="00F102EB" w:rsidP="00F102EB">
            <w:pPr>
              <w:rPr>
                <w:rFonts w:asciiTheme="minorHAnsi" w:hAnsiTheme="minorHAnsi" w:cstheme="minorHAnsi"/>
              </w:rPr>
            </w:pPr>
          </w:p>
          <w:p w14:paraId="5768AC13" w14:textId="4163E91E" w:rsidR="00F102EB" w:rsidRPr="00E4529B" w:rsidRDefault="00F102EB" w:rsidP="00F102EB">
            <w:pPr>
              <w:rPr>
                <w:rFonts w:asciiTheme="minorHAnsi" w:hAnsiTheme="minorHAnsi" w:cstheme="minorHAnsi"/>
              </w:rPr>
            </w:pPr>
            <w:r w:rsidRPr="00E4529B">
              <w:rPr>
                <w:rFonts w:asciiTheme="minorHAnsi" w:hAnsiTheme="minorHAnsi" w:cstheme="minorHAnsi"/>
              </w:rPr>
              <w:t xml:space="preserve">     approach. </w:t>
            </w:r>
            <w:proofErr w:type="spellStart"/>
            <w:r w:rsidRPr="00E4529B">
              <w:rPr>
                <w:rFonts w:asciiTheme="minorHAnsi" w:hAnsiTheme="minorHAnsi" w:cstheme="minorHAnsi"/>
                <w:i/>
                <w:iCs/>
              </w:rPr>
              <w:t>Paediatrics</w:t>
            </w:r>
            <w:proofErr w:type="spellEnd"/>
            <w:r w:rsidRPr="00E4529B">
              <w:rPr>
                <w:rFonts w:asciiTheme="minorHAnsi" w:hAnsiTheme="minorHAnsi" w:cstheme="minorHAnsi"/>
                <w:i/>
                <w:iCs/>
              </w:rPr>
              <w:t xml:space="preserve"> and Child Health</w:t>
            </w:r>
            <w:r w:rsidRPr="00E4529B">
              <w:rPr>
                <w:rFonts w:asciiTheme="minorHAnsi" w:hAnsiTheme="minorHAnsi" w:cstheme="minorHAnsi"/>
              </w:rPr>
              <w:t xml:space="preserve">, </w:t>
            </w:r>
            <w:r w:rsidRPr="00E4529B">
              <w:rPr>
                <w:rFonts w:asciiTheme="minorHAnsi" w:hAnsiTheme="minorHAnsi" w:cstheme="minorHAnsi"/>
                <w:i/>
                <w:iCs/>
              </w:rPr>
              <w:t>34</w:t>
            </w:r>
            <w:r w:rsidRPr="00E4529B">
              <w:rPr>
                <w:rFonts w:asciiTheme="minorHAnsi" w:hAnsiTheme="minorHAnsi" w:cstheme="minorHAnsi"/>
              </w:rPr>
              <w:t>(7), 201–210. https://doi.org/10.1016/j.paed.2024.04.001</w:t>
            </w:r>
          </w:p>
          <w:p w14:paraId="397A6579" w14:textId="77777777" w:rsidR="003D7C2E" w:rsidRPr="00E4529B" w:rsidRDefault="003D7C2E" w:rsidP="007E750E">
            <w:pPr>
              <w:contextualSpacing/>
              <w:rPr>
                <w:rFonts w:asciiTheme="minorHAnsi" w:hAnsiTheme="minorHAnsi" w:cstheme="minorHAnsi"/>
              </w:rPr>
            </w:pPr>
          </w:p>
        </w:tc>
      </w:tr>
      <w:tr w:rsidR="003D7C2E" w:rsidRPr="00E4529B" w14:paraId="4DBE916D" w14:textId="77777777" w:rsidTr="000F4E6E">
        <w:tc>
          <w:tcPr>
            <w:tcW w:w="11347" w:type="dxa"/>
            <w:shd w:val="clear" w:color="auto" w:fill="2E74B5" w:themeFill="accent1" w:themeFillShade="BF"/>
          </w:tcPr>
          <w:p w14:paraId="46127926" w14:textId="4043A6C2" w:rsidR="003D7C2E" w:rsidRPr="00E4529B" w:rsidRDefault="003D7C2E" w:rsidP="007E750E">
            <w:pPr>
              <w:contextualSpacing/>
              <w:rPr>
                <w:rFonts w:asciiTheme="minorHAnsi" w:hAnsiTheme="minorHAnsi" w:cstheme="minorHAnsi"/>
              </w:rPr>
            </w:pPr>
            <w:r w:rsidRPr="00E4529B">
              <w:rPr>
                <w:rFonts w:asciiTheme="minorHAnsi" w:hAnsiTheme="minorHAnsi" w:cstheme="minorHAnsi"/>
                <w:b/>
                <w:bCs/>
                <w:color w:val="FFFFFF" w:themeColor="background1"/>
              </w:rPr>
              <w:t>Permalink from the KU Library</w:t>
            </w:r>
          </w:p>
        </w:tc>
      </w:tr>
      <w:tr w:rsidR="003D7C2E" w:rsidRPr="00E4529B" w14:paraId="562BD43E" w14:textId="77777777" w:rsidTr="000F4E6E">
        <w:tc>
          <w:tcPr>
            <w:tcW w:w="11347" w:type="dxa"/>
          </w:tcPr>
          <w:p w14:paraId="5F504FD6" w14:textId="2019C877" w:rsidR="000F4E6E" w:rsidRPr="00E4529B" w:rsidRDefault="000F4E6E" w:rsidP="000F4E6E">
            <w:pPr>
              <w:spacing w:line="630" w:lineRule="atLeast"/>
              <w:outlineLvl w:val="0"/>
              <w:rPr>
                <w:rFonts w:asciiTheme="minorHAnsi" w:hAnsiTheme="minorHAnsi" w:cstheme="minorHAnsi"/>
              </w:rPr>
            </w:pPr>
            <w:hyperlink r:id="rId10" w:history="1">
              <w:r w:rsidRPr="00E4529B">
                <w:rPr>
                  <w:rStyle w:val="Hyperlink"/>
                  <w:rFonts w:asciiTheme="minorHAnsi" w:hAnsiTheme="minorHAnsi" w:cstheme="minorHAnsi"/>
                </w:rPr>
                <w:t>https://kuprimo.hosted.exlibrisgroup.com/permalink/f/1ik10ij/TN_cdi_elsevier_sciencedirect_doi_10_1016_j_paed_</w:t>
              </w:r>
            </w:hyperlink>
          </w:p>
          <w:p w14:paraId="371906EF" w14:textId="6EC56D0B" w:rsidR="00F102EB" w:rsidRPr="00E4529B" w:rsidRDefault="000F4E6E" w:rsidP="000F4E6E">
            <w:pPr>
              <w:spacing w:line="630" w:lineRule="atLeast"/>
              <w:outlineLvl w:val="0"/>
              <w:rPr>
                <w:rFonts w:asciiTheme="minorHAnsi" w:hAnsiTheme="minorHAnsi" w:cstheme="minorHAnsi"/>
              </w:rPr>
            </w:pPr>
            <w:r w:rsidRPr="00E4529B">
              <w:rPr>
                <w:rFonts w:asciiTheme="minorHAnsi" w:hAnsiTheme="minorHAnsi" w:cstheme="minorHAnsi"/>
              </w:rPr>
              <w:t xml:space="preserve">2024_04_001 </w:t>
            </w:r>
          </w:p>
        </w:tc>
      </w:tr>
      <w:tr w:rsidR="003D7C2E" w:rsidRPr="00E4529B" w14:paraId="0FD4CAF6" w14:textId="77777777" w:rsidTr="000F4E6E">
        <w:tc>
          <w:tcPr>
            <w:tcW w:w="11347" w:type="dxa"/>
            <w:shd w:val="clear" w:color="auto" w:fill="2E74B5" w:themeFill="accent1" w:themeFillShade="BF"/>
          </w:tcPr>
          <w:p w14:paraId="6BD2C4CD" w14:textId="6233B516" w:rsidR="003D7C2E" w:rsidRPr="00E4529B" w:rsidRDefault="003D7C2E" w:rsidP="007E750E">
            <w:pPr>
              <w:contextualSpacing/>
              <w:rPr>
                <w:rFonts w:asciiTheme="minorHAnsi" w:hAnsiTheme="minorHAnsi" w:cstheme="minorHAnsi"/>
              </w:rPr>
            </w:pPr>
            <w:r w:rsidRPr="00E4529B">
              <w:rPr>
                <w:rFonts w:asciiTheme="minorHAnsi" w:hAnsiTheme="minorHAnsi" w:cstheme="minorHAnsi"/>
                <w:b/>
                <w:bCs/>
                <w:color w:val="FFFFFF" w:themeColor="background1"/>
              </w:rPr>
              <w:t>Associated Competency</w:t>
            </w:r>
          </w:p>
        </w:tc>
      </w:tr>
      <w:tr w:rsidR="003D7C2E" w:rsidRPr="00E4529B" w14:paraId="4EF571A0" w14:textId="77777777" w:rsidTr="000F4E6E">
        <w:tc>
          <w:tcPr>
            <w:tcW w:w="11347" w:type="dxa"/>
          </w:tcPr>
          <w:p w14:paraId="150DD6C8" w14:textId="45E0BE14" w:rsidR="003D7C2E" w:rsidRPr="00E4529B" w:rsidRDefault="000F4E6E" w:rsidP="007E750E">
            <w:pPr>
              <w:contextualSpacing/>
              <w:rPr>
                <w:rFonts w:asciiTheme="minorHAnsi" w:hAnsiTheme="minorHAnsi" w:cstheme="minorHAnsi"/>
              </w:rPr>
            </w:pPr>
            <w:r w:rsidRPr="00E4529B">
              <w:rPr>
                <w:rStyle w:val="Strong"/>
                <w:rFonts w:asciiTheme="minorHAnsi" w:hAnsiTheme="minorHAnsi" w:cstheme="minorHAnsi"/>
                <w:b w:val="0"/>
                <w:bCs w:val="0"/>
              </w:rPr>
              <w:t>Domain 1.2: Knowledge of core and associated characteristics of individuals with autism</w:t>
            </w:r>
          </w:p>
        </w:tc>
      </w:tr>
      <w:tr w:rsidR="003D7C2E" w:rsidRPr="00E4529B" w14:paraId="77B8328A" w14:textId="77777777" w:rsidTr="000F4E6E">
        <w:tc>
          <w:tcPr>
            <w:tcW w:w="11347" w:type="dxa"/>
            <w:shd w:val="clear" w:color="auto" w:fill="2E74B5" w:themeFill="accent1" w:themeFillShade="BF"/>
          </w:tcPr>
          <w:p w14:paraId="70BF58A2" w14:textId="3BEFD432" w:rsidR="003D7C2E" w:rsidRPr="00E4529B" w:rsidRDefault="002F371F" w:rsidP="007E750E">
            <w:pPr>
              <w:contextualSpacing/>
              <w:rPr>
                <w:rFonts w:asciiTheme="minorHAnsi" w:hAnsiTheme="minorHAnsi" w:cstheme="minorHAnsi"/>
              </w:rPr>
            </w:pPr>
            <w:r w:rsidRPr="00E4529B">
              <w:rPr>
                <w:rFonts w:asciiTheme="minorHAnsi" w:hAnsiTheme="minorHAnsi" w:cstheme="minorHAnsi"/>
                <w:b/>
                <w:bCs/>
                <w:color w:val="FFFFFF" w:themeColor="background1"/>
              </w:rPr>
              <w:t>Rationale (explain connection to above competency)</w:t>
            </w:r>
          </w:p>
        </w:tc>
      </w:tr>
      <w:tr w:rsidR="003D7C2E" w:rsidRPr="00E4529B" w14:paraId="17CDF4F6" w14:textId="77777777" w:rsidTr="000F4E6E">
        <w:tc>
          <w:tcPr>
            <w:tcW w:w="11347" w:type="dxa"/>
          </w:tcPr>
          <w:p w14:paraId="3D8E5133" w14:textId="3F8E2A7B" w:rsidR="003D7C2E" w:rsidRPr="00E4529B" w:rsidRDefault="000F4E6E" w:rsidP="000F4E6E">
            <w:pPr>
              <w:pStyle w:val="NormalWeb"/>
              <w:rPr>
                <w:rFonts w:asciiTheme="minorHAnsi" w:hAnsiTheme="minorHAnsi" w:cstheme="minorHAnsi"/>
                <w:sz w:val="22"/>
                <w:szCs w:val="22"/>
              </w:rPr>
            </w:pPr>
            <w:r w:rsidRPr="00E4529B">
              <w:rPr>
                <w:rFonts w:asciiTheme="minorHAnsi" w:hAnsiTheme="minorHAnsi" w:cstheme="minorHAnsi"/>
                <w:sz w:val="22"/>
                <w:szCs w:val="22"/>
              </w:rPr>
              <w:t xml:space="preserve">This article aligns most closely with </w:t>
            </w:r>
            <w:r w:rsidRPr="00E4529B">
              <w:rPr>
                <w:rStyle w:val="Strong"/>
                <w:rFonts w:asciiTheme="minorHAnsi" w:hAnsiTheme="minorHAnsi" w:cstheme="minorHAnsi"/>
                <w:b w:val="0"/>
                <w:bCs w:val="0"/>
                <w:sz w:val="22"/>
                <w:szCs w:val="22"/>
              </w:rPr>
              <w:t>Domain 1.2: Knowledge of core and associated characteristics of individuals with autism</w:t>
            </w:r>
            <w:r w:rsidRPr="00E4529B">
              <w:rPr>
                <w:rFonts w:asciiTheme="minorHAnsi" w:hAnsiTheme="minorHAnsi" w:cstheme="minorHAnsi"/>
                <w:sz w:val="22"/>
                <w:szCs w:val="22"/>
              </w:rPr>
              <w:t>, as it explores how children with autism understand their own experiences, challenges, and interventions. The findings highlight differences in self-awareness, communication, and social understanding, which are key characteristics of autism. In my inclusive practice, this knowledge is important because it helps me better understand how students may perceive their learning and support, allowing me to adjust instruction and communication to better meet their needs.</w:t>
            </w:r>
          </w:p>
        </w:tc>
      </w:tr>
      <w:tr w:rsidR="003D7C2E" w:rsidRPr="00E4529B" w14:paraId="39B65E64" w14:textId="77777777" w:rsidTr="000F4E6E">
        <w:tc>
          <w:tcPr>
            <w:tcW w:w="11347" w:type="dxa"/>
            <w:shd w:val="clear" w:color="auto" w:fill="2E74B5" w:themeFill="accent1" w:themeFillShade="BF"/>
          </w:tcPr>
          <w:p w14:paraId="219DB1B0" w14:textId="68BC45EE" w:rsidR="003D7C2E" w:rsidRPr="00E4529B" w:rsidRDefault="00FA084D" w:rsidP="007E750E">
            <w:pPr>
              <w:contextualSpacing/>
              <w:rPr>
                <w:rFonts w:asciiTheme="minorHAnsi" w:hAnsiTheme="minorHAnsi" w:cstheme="minorHAnsi"/>
              </w:rPr>
            </w:pPr>
            <w:r w:rsidRPr="00E4529B">
              <w:rPr>
                <w:rFonts w:asciiTheme="minorHAnsi" w:hAnsiTheme="minorHAnsi" w:cstheme="minorHAnsi"/>
                <w:b/>
                <w:bCs/>
                <w:color w:val="FFFFFF" w:themeColor="background1"/>
              </w:rPr>
              <w:t>Article Purpose</w:t>
            </w:r>
          </w:p>
        </w:tc>
      </w:tr>
      <w:tr w:rsidR="003D7C2E" w:rsidRPr="00E4529B" w14:paraId="08617833" w14:textId="77777777" w:rsidTr="000F4E6E">
        <w:trPr>
          <w:trHeight w:val="1459"/>
        </w:trPr>
        <w:tc>
          <w:tcPr>
            <w:tcW w:w="11347" w:type="dxa"/>
          </w:tcPr>
          <w:p w14:paraId="2ADD570E" w14:textId="003BC351" w:rsidR="003D7C2E" w:rsidRPr="00E4529B" w:rsidRDefault="000F4E6E" w:rsidP="007E750E">
            <w:pPr>
              <w:contextualSpacing/>
              <w:rPr>
                <w:rFonts w:asciiTheme="minorHAnsi" w:hAnsiTheme="minorHAnsi" w:cstheme="minorHAnsi"/>
              </w:rPr>
            </w:pPr>
            <w:r w:rsidRPr="00E4529B">
              <w:rPr>
                <w:rFonts w:asciiTheme="minorHAnsi" w:hAnsiTheme="minorHAnsi" w:cstheme="minorHAnsi"/>
              </w:rPr>
              <w:lastRenderedPageBreak/>
              <w:t xml:space="preserve">The purpose of this article is to examine how children with autism perceive their condition and understand the interventions they receive. It focuses on capturing student perspectives to better understand their awareness of their strengths, challenges, and supports. This is significant for educators because it highlights that students with autism may not fully understand the purpose of interventions or supports, which can impact engagement and participation. Understanding student perspective can help educators provide clearer explanations, </w:t>
            </w:r>
            <w:r w:rsidR="00F17779" w:rsidRPr="00E4529B">
              <w:rPr>
                <w:rFonts w:asciiTheme="minorHAnsi" w:hAnsiTheme="minorHAnsi" w:cstheme="minorHAnsi"/>
              </w:rPr>
              <w:t>increase student involvement, and improve overall outcomes.</w:t>
            </w:r>
          </w:p>
        </w:tc>
      </w:tr>
      <w:tr w:rsidR="003D7C2E" w:rsidRPr="00E4529B" w14:paraId="10DA4E6E" w14:textId="77777777" w:rsidTr="000F4E6E">
        <w:tc>
          <w:tcPr>
            <w:tcW w:w="11347" w:type="dxa"/>
            <w:shd w:val="clear" w:color="auto" w:fill="2E74B5" w:themeFill="accent1" w:themeFillShade="BF"/>
          </w:tcPr>
          <w:p w14:paraId="094400AB" w14:textId="68418277" w:rsidR="003D7C2E" w:rsidRPr="00E4529B" w:rsidRDefault="007E750E" w:rsidP="007E750E">
            <w:pPr>
              <w:contextualSpacing/>
              <w:rPr>
                <w:rFonts w:asciiTheme="minorHAnsi" w:hAnsiTheme="minorHAnsi" w:cstheme="minorHAnsi"/>
              </w:rPr>
            </w:pPr>
            <w:r w:rsidRPr="00E4529B">
              <w:rPr>
                <w:rFonts w:asciiTheme="minorHAnsi" w:hAnsiTheme="minorHAnsi" w:cstheme="minorHAnsi"/>
                <w:b/>
                <w:bCs/>
                <w:color w:val="FFFFFF" w:themeColor="background1"/>
              </w:rPr>
              <w:t xml:space="preserve">Five Key Findings Related to Your Practice – </w:t>
            </w:r>
            <w:r w:rsidRPr="00E4529B">
              <w:rPr>
                <w:rFonts w:asciiTheme="minorHAnsi" w:hAnsiTheme="minorHAnsi" w:cstheme="minorHAnsi"/>
                <w:b/>
                <w:bCs/>
                <w:i/>
                <w:iCs/>
                <w:color w:val="FFFFFF" w:themeColor="background1"/>
              </w:rPr>
              <w:t>How might you apply the results in your setting?</w:t>
            </w:r>
          </w:p>
        </w:tc>
      </w:tr>
      <w:tr w:rsidR="003D7C2E" w:rsidRPr="00E4529B" w14:paraId="6B49C798" w14:textId="77777777" w:rsidTr="000F4E6E">
        <w:tc>
          <w:tcPr>
            <w:tcW w:w="11347" w:type="dxa"/>
          </w:tcPr>
          <w:p w14:paraId="094D71F4" w14:textId="77777777" w:rsidR="00F17779" w:rsidRPr="00E4529B" w:rsidRDefault="00F17779" w:rsidP="00F17779">
            <w:pPr>
              <w:pStyle w:val="ListParagraph"/>
              <w:numPr>
                <w:ilvl w:val="0"/>
                <w:numId w:val="21"/>
              </w:numPr>
              <w:spacing w:before="100" w:beforeAutospacing="1" w:after="100" w:afterAutospacing="1"/>
              <w:rPr>
                <w:rFonts w:cstheme="minorHAnsi"/>
              </w:rPr>
            </w:pPr>
            <w:r w:rsidRPr="00E4529B">
              <w:rPr>
                <w:rFonts w:cstheme="minorHAnsi"/>
              </w:rPr>
              <w:t>Students with autism are aware of their challenges but may not understand their diagnosis. Clear, student-friendly language improves comprehension.</w:t>
            </w:r>
          </w:p>
          <w:p w14:paraId="7CA6D0B6" w14:textId="77777777" w:rsidR="00F17779" w:rsidRPr="00E4529B" w:rsidRDefault="00F17779" w:rsidP="00F17779">
            <w:pPr>
              <w:pStyle w:val="ListParagraph"/>
              <w:spacing w:before="100" w:beforeAutospacing="1" w:after="100" w:afterAutospacing="1"/>
              <w:ind w:left="1080"/>
              <w:rPr>
                <w:rFonts w:cstheme="minorHAnsi"/>
              </w:rPr>
            </w:pPr>
          </w:p>
          <w:p w14:paraId="20A66A1D" w14:textId="77777777" w:rsidR="00F17779" w:rsidRPr="00E4529B" w:rsidRDefault="00F17779" w:rsidP="00F17779">
            <w:pPr>
              <w:pStyle w:val="ListParagraph"/>
              <w:numPr>
                <w:ilvl w:val="0"/>
                <w:numId w:val="21"/>
              </w:numPr>
              <w:spacing w:before="100" w:beforeAutospacing="1" w:after="100" w:afterAutospacing="1"/>
              <w:rPr>
                <w:rFonts w:cstheme="minorHAnsi"/>
              </w:rPr>
            </w:pPr>
            <w:r w:rsidRPr="00E4529B">
              <w:rPr>
                <w:rFonts w:cstheme="minorHAnsi"/>
              </w:rPr>
              <w:t>Awareness of interventions is often limited. Explaining the purpose of supports makes them more meaningful.</w:t>
            </w:r>
          </w:p>
          <w:p w14:paraId="2B41937B" w14:textId="77777777" w:rsidR="00F17779" w:rsidRPr="00E4529B" w:rsidRDefault="00F17779" w:rsidP="00F17779">
            <w:pPr>
              <w:pStyle w:val="ListParagraph"/>
              <w:rPr>
                <w:rFonts w:cstheme="minorHAnsi"/>
              </w:rPr>
            </w:pPr>
          </w:p>
          <w:p w14:paraId="0C12B971" w14:textId="77777777" w:rsidR="00F17779" w:rsidRPr="00E4529B" w:rsidRDefault="00F17779" w:rsidP="00F17779">
            <w:pPr>
              <w:pStyle w:val="ListParagraph"/>
              <w:numPr>
                <w:ilvl w:val="0"/>
                <w:numId w:val="21"/>
              </w:numPr>
              <w:spacing w:before="100" w:beforeAutospacing="1" w:after="100" w:afterAutospacing="1"/>
              <w:rPr>
                <w:rFonts w:cstheme="minorHAnsi"/>
              </w:rPr>
            </w:pPr>
            <w:r w:rsidRPr="00E4529B">
              <w:rPr>
                <w:rFonts w:cstheme="minorHAnsi"/>
              </w:rPr>
              <w:t>Students are often excluded from decisions about their supports. Involving them promotes ownership and engagement.</w:t>
            </w:r>
          </w:p>
          <w:p w14:paraId="4560CBD6" w14:textId="77777777" w:rsidR="00F17779" w:rsidRPr="00E4529B" w:rsidRDefault="00F17779" w:rsidP="00F17779">
            <w:pPr>
              <w:pStyle w:val="ListParagraph"/>
              <w:rPr>
                <w:rFonts w:cstheme="minorHAnsi"/>
              </w:rPr>
            </w:pPr>
          </w:p>
          <w:p w14:paraId="5420FE52" w14:textId="0705AC65" w:rsidR="00F17779" w:rsidRPr="00E4529B" w:rsidRDefault="00F17779" w:rsidP="00F17779">
            <w:pPr>
              <w:pStyle w:val="ListParagraph"/>
              <w:numPr>
                <w:ilvl w:val="0"/>
                <w:numId w:val="21"/>
              </w:numPr>
              <w:spacing w:before="100" w:beforeAutospacing="1" w:after="100" w:afterAutospacing="1"/>
              <w:rPr>
                <w:rFonts w:cstheme="minorHAnsi"/>
              </w:rPr>
            </w:pPr>
            <w:r w:rsidRPr="00E4529B">
              <w:rPr>
                <w:rFonts w:cstheme="minorHAnsi"/>
              </w:rPr>
              <w:t>Understanding goals can be difficult. Breaking goals into concrete, manageable steps support learning.</w:t>
            </w:r>
          </w:p>
          <w:p w14:paraId="10C97BC4" w14:textId="77777777" w:rsidR="00F17779" w:rsidRPr="00E4529B" w:rsidRDefault="00F17779" w:rsidP="00F17779">
            <w:pPr>
              <w:pStyle w:val="ListParagraph"/>
              <w:rPr>
                <w:rFonts w:cstheme="minorHAnsi"/>
              </w:rPr>
            </w:pPr>
          </w:p>
          <w:p w14:paraId="64249A8C" w14:textId="2B617061" w:rsidR="003D7C2E" w:rsidRPr="00E4529B" w:rsidRDefault="00F17779" w:rsidP="00F17779">
            <w:pPr>
              <w:pStyle w:val="ListParagraph"/>
              <w:numPr>
                <w:ilvl w:val="0"/>
                <w:numId w:val="21"/>
              </w:numPr>
              <w:spacing w:before="100" w:beforeAutospacing="1" w:after="100" w:afterAutospacing="1"/>
              <w:rPr>
                <w:rFonts w:cstheme="minorHAnsi"/>
              </w:rPr>
            </w:pPr>
            <w:r w:rsidRPr="00E4529B">
              <w:rPr>
                <w:rFonts w:cstheme="minorHAnsi"/>
              </w:rPr>
              <w:t>Emotional and behavioral experiences shape student understanding. Validating experiences and embedding social-emotional supports enhances participation.</w:t>
            </w:r>
          </w:p>
        </w:tc>
      </w:tr>
      <w:tr w:rsidR="003D7C2E" w:rsidRPr="00E4529B" w14:paraId="1505AFED" w14:textId="77777777" w:rsidTr="000F4E6E">
        <w:tc>
          <w:tcPr>
            <w:tcW w:w="11347" w:type="dxa"/>
            <w:shd w:val="clear" w:color="auto" w:fill="1F4E79" w:themeFill="accent1" w:themeFillShade="80"/>
          </w:tcPr>
          <w:p w14:paraId="6F867A10" w14:textId="343A9CCA" w:rsidR="003D7C2E" w:rsidRPr="00E4529B" w:rsidRDefault="003D7C2E" w:rsidP="007E750E">
            <w:pPr>
              <w:contextualSpacing/>
              <w:jc w:val="right"/>
              <w:rPr>
                <w:rFonts w:asciiTheme="minorHAnsi" w:hAnsiTheme="minorHAnsi" w:cstheme="minorHAnsi"/>
              </w:rPr>
            </w:pPr>
            <w:r w:rsidRPr="00E4529B">
              <w:rPr>
                <w:rStyle w:val="Strong"/>
                <w:rFonts w:asciiTheme="minorHAnsi" w:hAnsiTheme="minorHAnsi" w:cstheme="minorHAnsi"/>
                <w:color w:val="FFFFFF" w:themeColor="background1"/>
              </w:rPr>
              <w:t>Article FOUR</w:t>
            </w:r>
          </w:p>
        </w:tc>
      </w:tr>
      <w:tr w:rsidR="003D7C2E" w:rsidRPr="00E4529B" w14:paraId="1C6D87AC" w14:textId="77777777" w:rsidTr="000F4E6E">
        <w:tc>
          <w:tcPr>
            <w:tcW w:w="11347" w:type="dxa"/>
            <w:shd w:val="clear" w:color="auto" w:fill="2E74B5" w:themeFill="accent1" w:themeFillShade="BF"/>
          </w:tcPr>
          <w:p w14:paraId="69772FB1" w14:textId="1A062CF9" w:rsidR="003D7C2E" w:rsidRPr="00E4529B" w:rsidRDefault="003D7C2E" w:rsidP="007E750E">
            <w:pPr>
              <w:contextualSpacing/>
              <w:rPr>
                <w:rFonts w:asciiTheme="minorHAnsi" w:hAnsiTheme="minorHAnsi" w:cstheme="minorHAnsi"/>
              </w:rPr>
            </w:pPr>
            <w:r w:rsidRPr="00E4529B">
              <w:rPr>
                <w:rFonts w:asciiTheme="minorHAnsi" w:hAnsiTheme="minorHAnsi" w:cstheme="minorHAnsi"/>
                <w:b/>
                <w:bCs/>
                <w:color w:val="FFFFFF" w:themeColor="background1"/>
              </w:rPr>
              <w:t>APA Citation (3–5-year timeframe)</w:t>
            </w:r>
          </w:p>
        </w:tc>
      </w:tr>
      <w:tr w:rsidR="003D7C2E" w:rsidRPr="00E4529B" w14:paraId="049E72DD" w14:textId="77777777" w:rsidTr="000F4E6E">
        <w:tc>
          <w:tcPr>
            <w:tcW w:w="11347" w:type="dxa"/>
          </w:tcPr>
          <w:p w14:paraId="2AB6AC0A" w14:textId="77777777" w:rsidR="00F034C1" w:rsidRPr="00E4529B" w:rsidRDefault="00F034C1" w:rsidP="007E750E">
            <w:pPr>
              <w:contextualSpacing/>
              <w:rPr>
                <w:rFonts w:asciiTheme="minorHAnsi" w:hAnsiTheme="minorHAnsi" w:cstheme="minorHAnsi"/>
              </w:rPr>
            </w:pPr>
            <w:r w:rsidRPr="00E4529B">
              <w:rPr>
                <w:rFonts w:asciiTheme="minorHAnsi" w:hAnsiTheme="minorHAnsi" w:cstheme="minorHAnsi"/>
              </w:rPr>
              <w:t xml:space="preserve">Judge, S., Murray, J., Lynch, Y., Meredith, S., </w:t>
            </w:r>
            <w:proofErr w:type="spellStart"/>
            <w:r w:rsidRPr="00E4529B">
              <w:rPr>
                <w:rFonts w:asciiTheme="minorHAnsi" w:hAnsiTheme="minorHAnsi" w:cstheme="minorHAnsi"/>
              </w:rPr>
              <w:t>Moulam</w:t>
            </w:r>
            <w:proofErr w:type="spellEnd"/>
            <w:r w:rsidRPr="00E4529B">
              <w:rPr>
                <w:rFonts w:asciiTheme="minorHAnsi" w:hAnsiTheme="minorHAnsi" w:cstheme="minorHAnsi"/>
              </w:rPr>
              <w:t xml:space="preserve">, L., Randall, N., Whittle, H., &amp; Goldbart, J. (2023). </w:t>
            </w:r>
          </w:p>
          <w:p w14:paraId="4905EADF" w14:textId="77777777" w:rsidR="00F034C1" w:rsidRPr="00E4529B" w:rsidRDefault="00F034C1" w:rsidP="007E750E">
            <w:pPr>
              <w:contextualSpacing/>
              <w:rPr>
                <w:rFonts w:asciiTheme="minorHAnsi" w:hAnsiTheme="minorHAnsi" w:cstheme="minorHAnsi"/>
              </w:rPr>
            </w:pPr>
          </w:p>
          <w:p w14:paraId="25270C17" w14:textId="0BABFC95" w:rsidR="00F034C1" w:rsidRPr="00E4529B" w:rsidRDefault="00F034C1" w:rsidP="007E750E">
            <w:pPr>
              <w:contextualSpacing/>
              <w:rPr>
                <w:rFonts w:asciiTheme="minorHAnsi" w:hAnsiTheme="minorHAnsi" w:cstheme="minorHAnsi"/>
              </w:rPr>
            </w:pPr>
            <w:r w:rsidRPr="00E4529B">
              <w:rPr>
                <w:rFonts w:asciiTheme="minorHAnsi" w:hAnsiTheme="minorHAnsi" w:cstheme="minorHAnsi"/>
              </w:rPr>
              <w:t xml:space="preserve">     Attributes of communication aids as described by those supporting children and young people with AAC. </w:t>
            </w:r>
          </w:p>
          <w:p w14:paraId="4B79951E" w14:textId="77777777" w:rsidR="00F034C1" w:rsidRPr="00E4529B" w:rsidRDefault="00F034C1" w:rsidP="007E750E">
            <w:pPr>
              <w:contextualSpacing/>
              <w:rPr>
                <w:rStyle w:val="Emphasis"/>
                <w:rFonts w:asciiTheme="minorHAnsi" w:hAnsiTheme="minorHAnsi" w:cstheme="minorHAnsi"/>
              </w:rPr>
            </w:pPr>
          </w:p>
          <w:p w14:paraId="4AF2884F" w14:textId="5B3E7A44" w:rsidR="00F034C1" w:rsidRPr="00E4529B" w:rsidRDefault="00F034C1" w:rsidP="007E750E">
            <w:pPr>
              <w:contextualSpacing/>
              <w:rPr>
                <w:rFonts w:asciiTheme="minorHAnsi" w:hAnsiTheme="minorHAnsi" w:cstheme="minorHAnsi"/>
              </w:rPr>
            </w:pPr>
            <w:r w:rsidRPr="00E4529B">
              <w:rPr>
                <w:rStyle w:val="Emphasis"/>
                <w:rFonts w:asciiTheme="minorHAnsi" w:hAnsiTheme="minorHAnsi" w:cstheme="minorHAnsi"/>
              </w:rPr>
              <w:t xml:space="preserve">     International Journal of Language &amp; Communication Disorders, 58</w:t>
            </w:r>
            <w:r w:rsidRPr="00E4529B">
              <w:rPr>
                <w:rFonts w:asciiTheme="minorHAnsi" w:hAnsiTheme="minorHAnsi" w:cstheme="minorHAnsi"/>
              </w:rPr>
              <w:t xml:space="preserve">(3), 910–928. https://doi.org/10.1111/1460- </w:t>
            </w:r>
          </w:p>
          <w:p w14:paraId="3BFE68E1" w14:textId="77777777" w:rsidR="00F034C1" w:rsidRPr="00E4529B" w:rsidRDefault="00F034C1" w:rsidP="007E750E">
            <w:pPr>
              <w:contextualSpacing/>
              <w:rPr>
                <w:rFonts w:asciiTheme="minorHAnsi" w:hAnsiTheme="minorHAnsi" w:cstheme="minorHAnsi"/>
              </w:rPr>
            </w:pPr>
          </w:p>
          <w:p w14:paraId="18FEDE2F" w14:textId="7DE5B17D" w:rsidR="003D7C2E" w:rsidRPr="00E4529B" w:rsidRDefault="00F034C1" w:rsidP="007E750E">
            <w:pPr>
              <w:contextualSpacing/>
              <w:rPr>
                <w:rFonts w:asciiTheme="minorHAnsi" w:hAnsiTheme="minorHAnsi" w:cstheme="minorHAnsi"/>
              </w:rPr>
            </w:pPr>
            <w:r w:rsidRPr="00E4529B">
              <w:rPr>
                <w:rFonts w:asciiTheme="minorHAnsi" w:hAnsiTheme="minorHAnsi" w:cstheme="minorHAnsi"/>
              </w:rPr>
              <w:t xml:space="preserve">     6984.12833</w:t>
            </w:r>
          </w:p>
        </w:tc>
      </w:tr>
      <w:tr w:rsidR="003D7C2E" w:rsidRPr="00E4529B" w14:paraId="1DFA3116" w14:textId="77777777" w:rsidTr="000F4E6E">
        <w:tc>
          <w:tcPr>
            <w:tcW w:w="11347" w:type="dxa"/>
            <w:shd w:val="clear" w:color="auto" w:fill="2E74B5" w:themeFill="accent1" w:themeFillShade="BF"/>
          </w:tcPr>
          <w:p w14:paraId="732999B2" w14:textId="3DDC9A8F" w:rsidR="003D7C2E" w:rsidRPr="00E4529B" w:rsidRDefault="003D7C2E" w:rsidP="007E750E">
            <w:pPr>
              <w:contextualSpacing/>
              <w:rPr>
                <w:rFonts w:asciiTheme="minorHAnsi" w:hAnsiTheme="minorHAnsi" w:cstheme="minorHAnsi"/>
              </w:rPr>
            </w:pPr>
            <w:r w:rsidRPr="00E4529B">
              <w:rPr>
                <w:rFonts w:asciiTheme="minorHAnsi" w:hAnsiTheme="minorHAnsi" w:cstheme="minorHAnsi"/>
                <w:b/>
                <w:bCs/>
                <w:color w:val="FFFFFF" w:themeColor="background1"/>
              </w:rPr>
              <w:t>Permalink from the KU Library</w:t>
            </w:r>
          </w:p>
        </w:tc>
      </w:tr>
      <w:tr w:rsidR="003D7C2E" w:rsidRPr="00E4529B" w14:paraId="2D003169" w14:textId="77777777" w:rsidTr="000F4E6E">
        <w:tc>
          <w:tcPr>
            <w:tcW w:w="11347" w:type="dxa"/>
          </w:tcPr>
          <w:p w14:paraId="058B4020" w14:textId="201234FD" w:rsidR="00F102EB" w:rsidRPr="00E4529B" w:rsidRDefault="00F034C1" w:rsidP="007E750E">
            <w:pPr>
              <w:contextualSpacing/>
              <w:rPr>
                <w:rFonts w:asciiTheme="minorHAnsi" w:hAnsiTheme="minorHAnsi" w:cstheme="minorHAnsi"/>
              </w:rPr>
            </w:pPr>
            <w:hyperlink r:id="rId11" w:history="1">
              <w:r w:rsidRPr="00E4529B">
                <w:rPr>
                  <w:rStyle w:val="Hyperlink"/>
                  <w:rFonts w:asciiTheme="minorHAnsi" w:hAnsiTheme="minorHAnsi" w:cstheme="minorHAnsi"/>
                </w:rPr>
                <w:t>https://kuprimo.hosted.exlibrisgroup.com/permalink/f/1ik10ij/TN_cdi_crossref_primary_</w:t>
              </w:r>
            </w:hyperlink>
          </w:p>
          <w:p w14:paraId="1EFB628B" w14:textId="09B5264E" w:rsidR="003D7C2E" w:rsidRPr="00E4529B" w:rsidRDefault="00F102EB" w:rsidP="007E750E">
            <w:pPr>
              <w:contextualSpacing/>
              <w:rPr>
                <w:rFonts w:asciiTheme="minorHAnsi" w:hAnsiTheme="minorHAnsi" w:cstheme="minorHAnsi"/>
              </w:rPr>
            </w:pPr>
            <w:r w:rsidRPr="00E4529B">
              <w:rPr>
                <w:rFonts w:asciiTheme="minorHAnsi" w:hAnsiTheme="minorHAnsi" w:cstheme="minorHAnsi"/>
              </w:rPr>
              <w:t>10_1111_1460_6984_12833</w:t>
            </w:r>
          </w:p>
        </w:tc>
      </w:tr>
      <w:tr w:rsidR="003D7C2E" w:rsidRPr="00E4529B" w14:paraId="255BF74F" w14:textId="77777777" w:rsidTr="000F4E6E">
        <w:tc>
          <w:tcPr>
            <w:tcW w:w="11347" w:type="dxa"/>
            <w:shd w:val="clear" w:color="auto" w:fill="2E74B5" w:themeFill="accent1" w:themeFillShade="BF"/>
          </w:tcPr>
          <w:p w14:paraId="367443DB" w14:textId="64F2B653" w:rsidR="003D7C2E" w:rsidRPr="00E4529B" w:rsidRDefault="003D7C2E" w:rsidP="007E750E">
            <w:pPr>
              <w:contextualSpacing/>
              <w:rPr>
                <w:rFonts w:asciiTheme="minorHAnsi" w:hAnsiTheme="minorHAnsi" w:cstheme="minorHAnsi"/>
              </w:rPr>
            </w:pPr>
            <w:r w:rsidRPr="00E4529B">
              <w:rPr>
                <w:rFonts w:asciiTheme="minorHAnsi" w:hAnsiTheme="minorHAnsi" w:cstheme="minorHAnsi"/>
                <w:b/>
                <w:bCs/>
                <w:color w:val="FFFFFF" w:themeColor="background1"/>
              </w:rPr>
              <w:t>Associated Competency</w:t>
            </w:r>
          </w:p>
        </w:tc>
      </w:tr>
      <w:tr w:rsidR="003D7C2E" w:rsidRPr="00E4529B" w14:paraId="4CCC9995" w14:textId="77777777" w:rsidTr="000F4E6E">
        <w:tc>
          <w:tcPr>
            <w:tcW w:w="11347" w:type="dxa"/>
          </w:tcPr>
          <w:p w14:paraId="203C8525" w14:textId="104ABADD" w:rsidR="003D7C2E" w:rsidRPr="00E4529B" w:rsidRDefault="00F102EB" w:rsidP="007E750E">
            <w:pPr>
              <w:contextualSpacing/>
              <w:rPr>
                <w:rFonts w:asciiTheme="minorHAnsi" w:hAnsiTheme="minorHAnsi" w:cstheme="minorHAnsi"/>
              </w:rPr>
            </w:pPr>
            <w:r w:rsidRPr="00E4529B">
              <w:rPr>
                <w:rFonts w:asciiTheme="minorHAnsi" w:hAnsiTheme="minorHAnsi" w:cstheme="minorHAnsi"/>
              </w:rPr>
              <w:t>Domain 1.5: Understanding speech, language, and communication needs</w:t>
            </w:r>
          </w:p>
        </w:tc>
      </w:tr>
      <w:tr w:rsidR="003D7C2E" w:rsidRPr="00E4529B" w14:paraId="28020299" w14:textId="77777777" w:rsidTr="000F4E6E">
        <w:tc>
          <w:tcPr>
            <w:tcW w:w="11347" w:type="dxa"/>
            <w:shd w:val="clear" w:color="auto" w:fill="2E74B5" w:themeFill="accent1" w:themeFillShade="BF"/>
          </w:tcPr>
          <w:p w14:paraId="5FB46E8D" w14:textId="75A923F7" w:rsidR="003D7C2E" w:rsidRPr="00E4529B" w:rsidRDefault="002F371F" w:rsidP="007E750E">
            <w:pPr>
              <w:contextualSpacing/>
              <w:rPr>
                <w:rFonts w:asciiTheme="minorHAnsi" w:hAnsiTheme="minorHAnsi" w:cstheme="minorHAnsi"/>
              </w:rPr>
            </w:pPr>
            <w:r w:rsidRPr="00E4529B">
              <w:rPr>
                <w:rFonts w:asciiTheme="minorHAnsi" w:hAnsiTheme="minorHAnsi" w:cstheme="minorHAnsi"/>
                <w:b/>
                <w:bCs/>
                <w:color w:val="FFFFFF" w:themeColor="background1"/>
              </w:rPr>
              <w:t>Rationale (explain connection to above competency)</w:t>
            </w:r>
          </w:p>
        </w:tc>
      </w:tr>
      <w:tr w:rsidR="003D7C2E" w:rsidRPr="00E4529B" w14:paraId="167CC070" w14:textId="77777777" w:rsidTr="000F4E6E">
        <w:tc>
          <w:tcPr>
            <w:tcW w:w="11347" w:type="dxa"/>
          </w:tcPr>
          <w:p w14:paraId="25A06CDA" w14:textId="75423996" w:rsidR="003D7C2E" w:rsidRPr="00E4529B" w:rsidRDefault="00F102EB" w:rsidP="007E750E">
            <w:pPr>
              <w:contextualSpacing/>
              <w:rPr>
                <w:rFonts w:asciiTheme="minorHAnsi" w:hAnsiTheme="minorHAnsi" w:cstheme="minorHAnsi"/>
              </w:rPr>
            </w:pPr>
            <w:r w:rsidRPr="00E4529B">
              <w:rPr>
                <w:rFonts w:asciiTheme="minorHAnsi" w:hAnsiTheme="minorHAnsi" w:cstheme="minorHAnsi"/>
              </w:rPr>
              <w:t xml:space="preserve">This article aligns most closely with Domain 1.5: Understanding speech, language, and communication needs, as it focuses on how communication aids are selected and used to support children with complex communication </w:t>
            </w:r>
            <w:r w:rsidRPr="00E4529B">
              <w:rPr>
                <w:rFonts w:asciiTheme="minorHAnsi" w:hAnsiTheme="minorHAnsi" w:cstheme="minorHAnsi"/>
              </w:rPr>
              <w:lastRenderedPageBreak/>
              <w:t>needs. The article highlights the importance of AAC systems and the role of educators and support teams in making decisions about these tools. In my inclusive practice, this connects directly to how I support students with communication differences by using visuals, assistive technology, and individualized supports to increase access to instruction and participation.</w:t>
            </w:r>
          </w:p>
        </w:tc>
      </w:tr>
      <w:tr w:rsidR="003D7C2E" w:rsidRPr="00E4529B" w14:paraId="29748728" w14:textId="77777777" w:rsidTr="000F4E6E">
        <w:tc>
          <w:tcPr>
            <w:tcW w:w="11347" w:type="dxa"/>
            <w:shd w:val="clear" w:color="auto" w:fill="2E74B5" w:themeFill="accent1" w:themeFillShade="BF"/>
          </w:tcPr>
          <w:p w14:paraId="58CF72D0" w14:textId="3B8E0AB4" w:rsidR="003D7C2E" w:rsidRPr="00E4529B" w:rsidRDefault="00FA084D" w:rsidP="007E750E">
            <w:pPr>
              <w:contextualSpacing/>
              <w:rPr>
                <w:rFonts w:asciiTheme="minorHAnsi" w:hAnsiTheme="minorHAnsi" w:cstheme="minorHAnsi"/>
              </w:rPr>
            </w:pPr>
            <w:r w:rsidRPr="00E4529B">
              <w:rPr>
                <w:rFonts w:asciiTheme="minorHAnsi" w:hAnsiTheme="minorHAnsi" w:cstheme="minorHAnsi"/>
                <w:b/>
                <w:bCs/>
                <w:color w:val="FFFFFF" w:themeColor="background1"/>
              </w:rPr>
              <w:lastRenderedPageBreak/>
              <w:t>Article Purpose</w:t>
            </w:r>
          </w:p>
        </w:tc>
      </w:tr>
      <w:tr w:rsidR="003D7C2E" w:rsidRPr="00E4529B" w14:paraId="57E0310A" w14:textId="77777777" w:rsidTr="000F4E6E">
        <w:tc>
          <w:tcPr>
            <w:tcW w:w="11347" w:type="dxa"/>
          </w:tcPr>
          <w:p w14:paraId="06892F17" w14:textId="2E986ECA" w:rsidR="003D7C2E" w:rsidRPr="00E4529B" w:rsidRDefault="00F102EB" w:rsidP="00F102EB">
            <w:pPr>
              <w:pStyle w:val="NormalWeb"/>
              <w:rPr>
                <w:rFonts w:asciiTheme="minorHAnsi" w:hAnsiTheme="minorHAnsi" w:cstheme="minorHAnsi"/>
                <w:sz w:val="22"/>
                <w:szCs w:val="22"/>
              </w:rPr>
            </w:pPr>
            <w:r w:rsidRPr="00E4529B">
              <w:rPr>
                <w:rFonts w:asciiTheme="minorHAnsi" w:hAnsiTheme="minorHAnsi" w:cstheme="minorHAnsi"/>
                <w:sz w:val="22"/>
                <w:szCs w:val="22"/>
              </w:rPr>
              <w:t xml:space="preserve">The purpose of this article is to explore how professionals and caregivers describe and evaluate communication aids used by children and young people who rely on AAC. It examines how decisions are made regarding the selection and use of these tools. This is significant for educators because it highlights the complexity of supporting students with communication needs and reinforces the importance of choosing and implementing communication supports that are individualized and meaningful for each student. </w:t>
            </w:r>
          </w:p>
        </w:tc>
      </w:tr>
      <w:tr w:rsidR="003D7C2E" w:rsidRPr="00E4529B" w14:paraId="36832AAC" w14:textId="77777777" w:rsidTr="000F4E6E">
        <w:tc>
          <w:tcPr>
            <w:tcW w:w="11347" w:type="dxa"/>
            <w:shd w:val="clear" w:color="auto" w:fill="2E74B5" w:themeFill="accent1" w:themeFillShade="BF"/>
          </w:tcPr>
          <w:p w14:paraId="2226687C" w14:textId="636E6D9D" w:rsidR="003D7C2E" w:rsidRPr="00E4529B" w:rsidRDefault="007E750E" w:rsidP="007E750E">
            <w:pPr>
              <w:contextualSpacing/>
              <w:rPr>
                <w:rFonts w:asciiTheme="minorHAnsi" w:hAnsiTheme="minorHAnsi" w:cstheme="minorHAnsi"/>
              </w:rPr>
            </w:pPr>
            <w:r w:rsidRPr="00E4529B">
              <w:rPr>
                <w:rFonts w:asciiTheme="minorHAnsi" w:hAnsiTheme="minorHAnsi" w:cstheme="minorHAnsi"/>
                <w:b/>
                <w:bCs/>
                <w:color w:val="FFFFFF" w:themeColor="background1"/>
              </w:rPr>
              <w:t>Five Key Findings Related to Your Practice –</w:t>
            </w:r>
            <w:r w:rsidRPr="00E4529B">
              <w:rPr>
                <w:rFonts w:asciiTheme="minorHAnsi" w:hAnsiTheme="minorHAnsi" w:cstheme="minorHAnsi"/>
                <w:b/>
                <w:bCs/>
                <w:i/>
                <w:iCs/>
                <w:color w:val="FFFFFF" w:themeColor="background1"/>
              </w:rPr>
              <w:t xml:space="preserve"> How might you apply the results in your setting?</w:t>
            </w:r>
          </w:p>
        </w:tc>
      </w:tr>
      <w:tr w:rsidR="003D7C2E" w:rsidRPr="00E4529B" w14:paraId="312094FC" w14:textId="77777777" w:rsidTr="000F4E6E">
        <w:tc>
          <w:tcPr>
            <w:tcW w:w="11347" w:type="dxa"/>
          </w:tcPr>
          <w:p w14:paraId="22929AD8" w14:textId="77777777" w:rsidR="00F17779" w:rsidRPr="00E4529B" w:rsidRDefault="00F17779" w:rsidP="00F17779">
            <w:pPr>
              <w:pStyle w:val="ListParagraph"/>
              <w:numPr>
                <w:ilvl w:val="1"/>
                <w:numId w:val="20"/>
              </w:numPr>
              <w:rPr>
                <w:rFonts w:cstheme="minorHAnsi"/>
              </w:rPr>
            </w:pPr>
            <w:r w:rsidRPr="00E4529B">
              <w:rPr>
                <w:rFonts w:cstheme="minorHAnsi"/>
              </w:rPr>
              <w:t>Selecting communication aids is a team process. Collaboration among educators, SLPs, and support staff ensures appropriate tools are chosen.</w:t>
            </w:r>
          </w:p>
          <w:p w14:paraId="1B05CABD" w14:textId="77777777" w:rsidR="00F17779" w:rsidRPr="00E4529B" w:rsidRDefault="00F17779" w:rsidP="00F17779">
            <w:pPr>
              <w:pStyle w:val="ListParagraph"/>
              <w:rPr>
                <w:rFonts w:cstheme="minorHAnsi"/>
              </w:rPr>
            </w:pPr>
          </w:p>
          <w:p w14:paraId="6D4B0B96" w14:textId="77777777" w:rsidR="00F17779" w:rsidRPr="00E4529B" w:rsidRDefault="00F17779" w:rsidP="00F17779">
            <w:pPr>
              <w:pStyle w:val="ListParagraph"/>
              <w:numPr>
                <w:ilvl w:val="1"/>
                <w:numId w:val="20"/>
              </w:numPr>
              <w:rPr>
                <w:rFonts w:cstheme="minorHAnsi"/>
              </w:rPr>
            </w:pPr>
            <w:r w:rsidRPr="00E4529B">
              <w:rPr>
                <w:rFonts w:cstheme="minorHAnsi"/>
              </w:rPr>
              <w:t>AAC tools must match individual student needs. Supports should consider abilities, preferences, and sensory sensitivities.</w:t>
            </w:r>
          </w:p>
          <w:p w14:paraId="471FCF22" w14:textId="77777777" w:rsidR="00F17779" w:rsidRPr="00E4529B" w:rsidRDefault="00F17779" w:rsidP="00F17779">
            <w:pPr>
              <w:rPr>
                <w:rFonts w:asciiTheme="minorHAnsi" w:hAnsiTheme="minorHAnsi" w:cstheme="minorHAnsi"/>
              </w:rPr>
            </w:pPr>
          </w:p>
          <w:p w14:paraId="73085F64" w14:textId="77777777" w:rsidR="00F17779" w:rsidRPr="00E4529B" w:rsidRDefault="00F17779" w:rsidP="00F17779">
            <w:pPr>
              <w:pStyle w:val="ListParagraph"/>
              <w:numPr>
                <w:ilvl w:val="1"/>
                <w:numId w:val="20"/>
              </w:numPr>
              <w:rPr>
                <w:rFonts w:cstheme="minorHAnsi"/>
              </w:rPr>
            </w:pPr>
            <w:r w:rsidRPr="00E4529B">
              <w:rPr>
                <w:rFonts w:cstheme="minorHAnsi"/>
              </w:rPr>
              <w:t>Ease of use is critical. Tools should be simple enough for independent use, reducing frustration.</w:t>
            </w:r>
          </w:p>
          <w:p w14:paraId="3910DFD2" w14:textId="77777777" w:rsidR="00F17779" w:rsidRPr="00E4529B" w:rsidRDefault="00F17779" w:rsidP="00F17779">
            <w:pPr>
              <w:rPr>
                <w:rFonts w:asciiTheme="minorHAnsi" w:hAnsiTheme="minorHAnsi" w:cstheme="minorHAnsi"/>
              </w:rPr>
            </w:pPr>
          </w:p>
          <w:p w14:paraId="234080BB" w14:textId="77777777" w:rsidR="00F17779" w:rsidRPr="00E4529B" w:rsidRDefault="00F17779" w:rsidP="00F17779">
            <w:pPr>
              <w:pStyle w:val="ListParagraph"/>
              <w:numPr>
                <w:ilvl w:val="1"/>
                <w:numId w:val="20"/>
              </w:numPr>
              <w:rPr>
                <w:rFonts w:cstheme="minorHAnsi"/>
              </w:rPr>
            </w:pPr>
            <w:r w:rsidRPr="00E4529B">
              <w:rPr>
                <w:rFonts w:cstheme="minorHAnsi"/>
              </w:rPr>
              <w:t>Adult support influences effectiveness. Regular modeling and reinforcement improve functional use of AAC systems.</w:t>
            </w:r>
          </w:p>
          <w:p w14:paraId="233812F1" w14:textId="77777777" w:rsidR="00F17779" w:rsidRPr="00E4529B" w:rsidRDefault="00F17779" w:rsidP="00F17779">
            <w:pPr>
              <w:pStyle w:val="ListParagraph"/>
              <w:rPr>
                <w:rFonts w:cstheme="minorHAnsi"/>
              </w:rPr>
            </w:pPr>
          </w:p>
          <w:p w14:paraId="2DE7CFED" w14:textId="7C975415" w:rsidR="003D7C2E" w:rsidRPr="00E4529B" w:rsidRDefault="00F17779" w:rsidP="00F17779">
            <w:pPr>
              <w:pStyle w:val="ListParagraph"/>
              <w:numPr>
                <w:ilvl w:val="1"/>
                <w:numId w:val="20"/>
              </w:numPr>
              <w:rPr>
                <w:rFonts w:cstheme="minorHAnsi"/>
              </w:rPr>
            </w:pPr>
            <w:r w:rsidRPr="00E4529B">
              <w:rPr>
                <w:rFonts w:cstheme="minorHAnsi"/>
              </w:rPr>
              <w:t>Communication supports participation and engagement. Well-implemented AAC tools increase involvement in classroom activities.</w:t>
            </w:r>
          </w:p>
        </w:tc>
      </w:tr>
      <w:tr w:rsidR="003D7C2E" w:rsidRPr="00E4529B" w14:paraId="617863C7" w14:textId="77777777" w:rsidTr="000F4E6E">
        <w:tc>
          <w:tcPr>
            <w:tcW w:w="11347" w:type="dxa"/>
            <w:shd w:val="clear" w:color="auto" w:fill="1F4E79" w:themeFill="accent1" w:themeFillShade="80"/>
          </w:tcPr>
          <w:p w14:paraId="709A1083" w14:textId="0518C6B2" w:rsidR="003D7C2E" w:rsidRPr="00E4529B" w:rsidRDefault="003D7C2E" w:rsidP="007E750E">
            <w:pPr>
              <w:contextualSpacing/>
              <w:jc w:val="right"/>
              <w:rPr>
                <w:rFonts w:asciiTheme="minorHAnsi" w:hAnsiTheme="minorHAnsi" w:cstheme="minorHAnsi"/>
              </w:rPr>
            </w:pPr>
            <w:r w:rsidRPr="00E4529B">
              <w:rPr>
                <w:rStyle w:val="Strong"/>
                <w:rFonts w:asciiTheme="minorHAnsi" w:hAnsiTheme="minorHAnsi" w:cstheme="minorHAnsi"/>
                <w:color w:val="FFFFFF" w:themeColor="background1"/>
              </w:rPr>
              <w:t>Article FIVE</w:t>
            </w:r>
          </w:p>
        </w:tc>
      </w:tr>
      <w:tr w:rsidR="003D7C2E" w:rsidRPr="00E4529B" w14:paraId="3C0076A6" w14:textId="77777777" w:rsidTr="000F4E6E">
        <w:tc>
          <w:tcPr>
            <w:tcW w:w="11347" w:type="dxa"/>
            <w:shd w:val="clear" w:color="auto" w:fill="2E74B5" w:themeFill="accent1" w:themeFillShade="BF"/>
          </w:tcPr>
          <w:p w14:paraId="196E6AB6" w14:textId="2A9068A1" w:rsidR="003D7C2E" w:rsidRPr="00E4529B" w:rsidRDefault="003D7C2E" w:rsidP="007E750E">
            <w:pPr>
              <w:contextualSpacing/>
              <w:rPr>
                <w:rFonts w:asciiTheme="minorHAnsi" w:hAnsiTheme="minorHAnsi" w:cstheme="minorHAnsi"/>
              </w:rPr>
            </w:pPr>
            <w:r w:rsidRPr="00E4529B">
              <w:rPr>
                <w:rFonts w:asciiTheme="minorHAnsi" w:hAnsiTheme="minorHAnsi" w:cstheme="minorHAnsi"/>
                <w:b/>
                <w:bCs/>
                <w:color w:val="FFFFFF" w:themeColor="background1"/>
              </w:rPr>
              <w:t>APA Citation (3–5-year timeframe)</w:t>
            </w:r>
          </w:p>
        </w:tc>
      </w:tr>
      <w:tr w:rsidR="003D7C2E" w:rsidRPr="00E4529B" w14:paraId="0759B844" w14:textId="77777777" w:rsidTr="000F4E6E">
        <w:tc>
          <w:tcPr>
            <w:tcW w:w="11347" w:type="dxa"/>
          </w:tcPr>
          <w:p w14:paraId="077D74B1" w14:textId="77777777" w:rsidR="00F75C4D" w:rsidRPr="00E4529B" w:rsidRDefault="00F75C4D" w:rsidP="00F75C4D">
            <w:pPr>
              <w:pStyle w:val="NormalWeb"/>
              <w:rPr>
                <w:rStyle w:val="Emphasis"/>
                <w:rFonts w:asciiTheme="minorHAnsi" w:hAnsiTheme="minorHAnsi" w:cstheme="minorHAnsi"/>
                <w:sz w:val="22"/>
                <w:szCs w:val="22"/>
              </w:rPr>
            </w:pPr>
            <w:proofErr w:type="spellStart"/>
            <w:r w:rsidRPr="00E4529B">
              <w:rPr>
                <w:rFonts w:asciiTheme="minorHAnsi" w:hAnsiTheme="minorHAnsi" w:cstheme="minorHAnsi"/>
                <w:sz w:val="22"/>
                <w:szCs w:val="22"/>
              </w:rPr>
              <w:t>Anixt</w:t>
            </w:r>
            <w:proofErr w:type="spellEnd"/>
            <w:r w:rsidRPr="00E4529B">
              <w:rPr>
                <w:rFonts w:asciiTheme="minorHAnsi" w:hAnsiTheme="minorHAnsi" w:cstheme="minorHAnsi"/>
                <w:sz w:val="22"/>
                <w:szCs w:val="22"/>
              </w:rPr>
              <w:t xml:space="preserve">, J. S., Ehrhardt, J., &amp; Duncan, A. (2024). Evidence-based interventions in autism. </w:t>
            </w:r>
            <w:r w:rsidRPr="00E4529B">
              <w:rPr>
                <w:rStyle w:val="Emphasis"/>
                <w:rFonts w:asciiTheme="minorHAnsi" w:hAnsiTheme="minorHAnsi" w:cstheme="minorHAnsi"/>
                <w:sz w:val="22"/>
                <w:szCs w:val="22"/>
              </w:rPr>
              <w:t xml:space="preserve">The Pediatric Clinics of </w:t>
            </w:r>
          </w:p>
          <w:p w14:paraId="0DB58270" w14:textId="5548083A" w:rsidR="00AC7C1F" w:rsidRPr="00E4529B" w:rsidRDefault="00F75C4D" w:rsidP="00AC7C1F">
            <w:pPr>
              <w:pStyle w:val="NormalWeb"/>
              <w:rPr>
                <w:rFonts w:asciiTheme="minorHAnsi" w:hAnsiTheme="minorHAnsi" w:cstheme="minorHAnsi"/>
                <w:sz w:val="22"/>
                <w:szCs w:val="22"/>
              </w:rPr>
            </w:pPr>
            <w:r w:rsidRPr="00E4529B">
              <w:rPr>
                <w:rStyle w:val="Emphasis"/>
                <w:rFonts w:asciiTheme="minorHAnsi" w:hAnsiTheme="minorHAnsi" w:cstheme="minorHAnsi"/>
                <w:sz w:val="22"/>
                <w:szCs w:val="22"/>
              </w:rPr>
              <w:t xml:space="preserve">     North America, 71</w:t>
            </w:r>
            <w:r w:rsidRPr="00E4529B">
              <w:rPr>
                <w:rFonts w:asciiTheme="minorHAnsi" w:hAnsiTheme="minorHAnsi" w:cstheme="minorHAnsi"/>
                <w:sz w:val="22"/>
                <w:szCs w:val="22"/>
              </w:rPr>
              <w:t xml:space="preserve">(2), 199–221. </w:t>
            </w:r>
            <w:hyperlink r:id="rId12" w:history="1">
              <w:r w:rsidR="00AC7C1F" w:rsidRPr="00E4529B">
                <w:rPr>
                  <w:rStyle w:val="Hyperlink"/>
                  <w:rFonts w:asciiTheme="minorHAnsi" w:hAnsiTheme="minorHAnsi" w:cstheme="minorHAnsi"/>
                  <w:sz w:val="22"/>
                  <w:szCs w:val="22"/>
                </w:rPr>
                <w:t>https://doi.org/10.1016/j.pcl.2024.01.001</w:t>
              </w:r>
            </w:hyperlink>
          </w:p>
        </w:tc>
      </w:tr>
      <w:tr w:rsidR="003D7C2E" w:rsidRPr="00E4529B" w14:paraId="0A35601A" w14:textId="77777777" w:rsidTr="000F4E6E">
        <w:tc>
          <w:tcPr>
            <w:tcW w:w="11347" w:type="dxa"/>
            <w:shd w:val="clear" w:color="auto" w:fill="2E74B5" w:themeFill="accent1" w:themeFillShade="BF"/>
          </w:tcPr>
          <w:p w14:paraId="21CB2ACB" w14:textId="010AA928" w:rsidR="003D7C2E" w:rsidRPr="00E4529B" w:rsidRDefault="003D7C2E" w:rsidP="007E750E">
            <w:pPr>
              <w:contextualSpacing/>
              <w:rPr>
                <w:rFonts w:asciiTheme="minorHAnsi" w:hAnsiTheme="minorHAnsi" w:cstheme="minorHAnsi"/>
              </w:rPr>
            </w:pPr>
            <w:r w:rsidRPr="00E4529B">
              <w:rPr>
                <w:rFonts w:asciiTheme="minorHAnsi" w:hAnsiTheme="minorHAnsi" w:cstheme="minorHAnsi"/>
                <w:b/>
                <w:bCs/>
                <w:color w:val="FFFFFF" w:themeColor="background1"/>
              </w:rPr>
              <w:t>Permalink from the KU Library</w:t>
            </w:r>
          </w:p>
        </w:tc>
      </w:tr>
      <w:tr w:rsidR="003D7C2E" w:rsidRPr="00E4529B" w14:paraId="59AEF6AC" w14:textId="77777777" w:rsidTr="000F4E6E">
        <w:tc>
          <w:tcPr>
            <w:tcW w:w="11347" w:type="dxa"/>
          </w:tcPr>
          <w:p w14:paraId="0B6F98B9" w14:textId="3A9A67A6" w:rsidR="00F034C1" w:rsidRPr="00E4529B" w:rsidRDefault="00F034C1" w:rsidP="007E750E">
            <w:pPr>
              <w:contextualSpacing/>
              <w:rPr>
                <w:rFonts w:asciiTheme="minorHAnsi" w:hAnsiTheme="minorHAnsi" w:cstheme="minorHAnsi"/>
              </w:rPr>
            </w:pPr>
            <w:hyperlink r:id="rId13" w:history="1">
              <w:r w:rsidRPr="00E4529B">
                <w:rPr>
                  <w:rStyle w:val="Hyperlink"/>
                  <w:rFonts w:asciiTheme="minorHAnsi" w:hAnsiTheme="minorHAnsi" w:cstheme="minorHAnsi"/>
                </w:rPr>
                <w:t>https://kuprimo.hosted.exlibrisgroup.com/permalink/f/1ik10ij/TN_cdi_elsevier_sciencedirect_</w:t>
              </w:r>
            </w:hyperlink>
          </w:p>
          <w:p w14:paraId="72EBC344" w14:textId="17BEBD44" w:rsidR="003D7C2E" w:rsidRPr="00E4529B" w:rsidRDefault="00F034C1" w:rsidP="007E750E">
            <w:pPr>
              <w:contextualSpacing/>
              <w:rPr>
                <w:rFonts w:asciiTheme="minorHAnsi" w:hAnsiTheme="minorHAnsi" w:cstheme="minorHAnsi"/>
              </w:rPr>
            </w:pPr>
            <w:r w:rsidRPr="00E4529B">
              <w:rPr>
                <w:rFonts w:asciiTheme="minorHAnsi" w:hAnsiTheme="minorHAnsi" w:cstheme="minorHAnsi"/>
              </w:rPr>
              <w:t>doi_10_1016_j_pcl_2024_01_001</w:t>
            </w:r>
          </w:p>
        </w:tc>
      </w:tr>
      <w:tr w:rsidR="003D7C2E" w:rsidRPr="00E4529B" w14:paraId="30B3FE63" w14:textId="77777777" w:rsidTr="000F4E6E">
        <w:tc>
          <w:tcPr>
            <w:tcW w:w="11347" w:type="dxa"/>
            <w:shd w:val="clear" w:color="auto" w:fill="2E74B5" w:themeFill="accent1" w:themeFillShade="BF"/>
          </w:tcPr>
          <w:p w14:paraId="53EFC70C" w14:textId="11080DA5" w:rsidR="003D7C2E" w:rsidRPr="00E4529B" w:rsidRDefault="003D7C2E" w:rsidP="007E750E">
            <w:pPr>
              <w:contextualSpacing/>
              <w:rPr>
                <w:rFonts w:asciiTheme="minorHAnsi" w:hAnsiTheme="minorHAnsi" w:cstheme="minorHAnsi"/>
              </w:rPr>
            </w:pPr>
            <w:r w:rsidRPr="00E4529B">
              <w:rPr>
                <w:rFonts w:asciiTheme="minorHAnsi" w:hAnsiTheme="minorHAnsi" w:cstheme="minorHAnsi"/>
                <w:b/>
                <w:bCs/>
                <w:color w:val="FFFFFF" w:themeColor="background1"/>
              </w:rPr>
              <w:t>Associated Competency</w:t>
            </w:r>
          </w:p>
        </w:tc>
      </w:tr>
      <w:tr w:rsidR="003D7C2E" w:rsidRPr="00E4529B" w14:paraId="53A0ED48" w14:textId="77777777" w:rsidTr="000F4E6E">
        <w:tc>
          <w:tcPr>
            <w:tcW w:w="11347" w:type="dxa"/>
          </w:tcPr>
          <w:p w14:paraId="30A561AD" w14:textId="3D1A6EEB" w:rsidR="003D7C2E" w:rsidRPr="00E4529B" w:rsidRDefault="00F75C4D" w:rsidP="00F75C4D">
            <w:pPr>
              <w:pStyle w:val="NormalWeb"/>
              <w:rPr>
                <w:rFonts w:asciiTheme="minorHAnsi" w:hAnsiTheme="minorHAnsi" w:cstheme="minorHAnsi"/>
                <w:b/>
                <w:bCs/>
                <w:sz w:val="22"/>
                <w:szCs w:val="22"/>
              </w:rPr>
            </w:pPr>
            <w:r w:rsidRPr="00E4529B">
              <w:rPr>
                <w:rStyle w:val="Strong"/>
                <w:rFonts w:asciiTheme="minorHAnsi" w:hAnsiTheme="minorHAnsi" w:cstheme="minorHAnsi"/>
                <w:b w:val="0"/>
                <w:bCs w:val="0"/>
                <w:sz w:val="22"/>
                <w:szCs w:val="22"/>
              </w:rPr>
              <w:t>Domain 1.1: Evidence-Based Instruction and Intervention</w:t>
            </w:r>
          </w:p>
        </w:tc>
      </w:tr>
      <w:tr w:rsidR="003D7C2E" w:rsidRPr="00E4529B" w14:paraId="33222169" w14:textId="77777777" w:rsidTr="000F4E6E">
        <w:tc>
          <w:tcPr>
            <w:tcW w:w="11347" w:type="dxa"/>
            <w:shd w:val="clear" w:color="auto" w:fill="2E74B5" w:themeFill="accent1" w:themeFillShade="BF"/>
          </w:tcPr>
          <w:p w14:paraId="430BB4C1" w14:textId="61A6D537" w:rsidR="003D7C2E" w:rsidRPr="00E4529B" w:rsidRDefault="002F371F" w:rsidP="007E750E">
            <w:pPr>
              <w:contextualSpacing/>
              <w:rPr>
                <w:rFonts w:asciiTheme="minorHAnsi" w:hAnsiTheme="minorHAnsi" w:cstheme="minorHAnsi"/>
              </w:rPr>
            </w:pPr>
            <w:r w:rsidRPr="00E4529B">
              <w:rPr>
                <w:rFonts w:asciiTheme="minorHAnsi" w:hAnsiTheme="minorHAnsi" w:cstheme="minorHAnsi"/>
                <w:b/>
                <w:bCs/>
                <w:color w:val="FFFFFF" w:themeColor="background1"/>
              </w:rPr>
              <w:t>Rationale (explain connection to above competency)</w:t>
            </w:r>
          </w:p>
        </w:tc>
      </w:tr>
      <w:tr w:rsidR="003D7C2E" w:rsidRPr="00E4529B" w14:paraId="12BEF641" w14:textId="77777777" w:rsidTr="000F4E6E">
        <w:tc>
          <w:tcPr>
            <w:tcW w:w="11347" w:type="dxa"/>
          </w:tcPr>
          <w:p w14:paraId="2A5179EB" w14:textId="4BC8706A" w:rsidR="003D7C2E" w:rsidRPr="00E4529B" w:rsidRDefault="00F75C4D" w:rsidP="007E750E">
            <w:pPr>
              <w:contextualSpacing/>
              <w:rPr>
                <w:rFonts w:asciiTheme="minorHAnsi" w:hAnsiTheme="minorHAnsi" w:cstheme="minorHAnsi"/>
              </w:rPr>
            </w:pPr>
            <w:r w:rsidRPr="00E4529B">
              <w:rPr>
                <w:rFonts w:asciiTheme="minorHAnsi" w:hAnsiTheme="minorHAnsi" w:cstheme="minorHAnsi"/>
              </w:rPr>
              <w:t xml:space="preserve">This article aligns closely with Domain 1.1 because it provides a detailed overview of interventions proven to </w:t>
            </w:r>
            <w:r w:rsidRPr="00E4529B">
              <w:rPr>
                <w:rFonts w:asciiTheme="minorHAnsi" w:hAnsiTheme="minorHAnsi" w:cstheme="minorHAnsi"/>
              </w:rPr>
              <w:lastRenderedPageBreak/>
              <w:t>support students with autism in educational and clinical settings. It highlights practical strategies for improving social communication, behavior, and academic skills. In inclusive practice, this connects to ensuring that interventions are individualized, supported by evidence, and implemented consistently to improve participation, learning, and engagement for students with autism.</w:t>
            </w:r>
          </w:p>
        </w:tc>
      </w:tr>
      <w:tr w:rsidR="003D7C2E" w:rsidRPr="00E4529B" w14:paraId="58C5CF77" w14:textId="77777777" w:rsidTr="000F4E6E">
        <w:tc>
          <w:tcPr>
            <w:tcW w:w="11347" w:type="dxa"/>
            <w:shd w:val="clear" w:color="auto" w:fill="2E74B5" w:themeFill="accent1" w:themeFillShade="BF"/>
          </w:tcPr>
          <w:p w14:paraId="051A3091" w14:textId="5DCA39B8" w:rsidR="003D7C2E" w:rsidRPr="00E4529B" w:rsidRDefault="00FA084D" w:rsidP="007E750E">
            <w:pPr>
              <w:contextualSpacing/>
              <w:rPr>
                <w:rFonts w:asciiTheme="minorHAnsi" w:hAnsiTheme="minorHAnsi" w:cstheme="minorHAnsi"/>
                <w:b/>
              </w:rPr>
            </w:pPr>
            <w:r w:rsidRPr="00E4529B">
              <w:rPr>
                <w:rFonts w:asciiTheme="minorHAnsi" w:hAnsiTheme="minorHAnsi" w:cstheme="minorHAnsi"/>
                <w:b/>
                <w:color w:val="FFFFFF" w:themeColor="background1"/>
              </w:rPr>
              <w:lastRenderedPageBreak/>
              <w:t>Article Purpose</w:t>
            </w:r>
          </w:p>
        </w:tc>
      </w:tr>
      <w:tr w:rsidR="003D7C2E" w:rsidRPr="00E4529B" w14:paraId="0F50A29F" w14:textId="77777777" w:rsidTr="000F4E6E">
        <w:tc>
          <w:tcPr>
            <w:tcW w:w="11347" w:type="dxa"/>
          </w:tcPr>
          <w:p w14:paraId="3262B1ED" w14:textId="50CE5DE5" w:rsidR="003D7C2E" w:rsidRPr="00E4529B" w:rsidRDefault="00F75C4D" w:rsidP="007E750E">
            <w:pPr>
              <w:contextualSpacing/>
              <w:rPr>
                <w:rFonts w:asciiTheme="minorHAnsi" w:hAnsiTheme="minorHAnsi" w:cstheme="minorHAnsi"/>
              </w:rPr>
            </w:pPr>
            <w:r w:rsidRPr="00E4529B">
              <w:rPr>
                <w:rFonts w:asciiTheme="minorHAnsi" w:hAnsiTheme="minorHAnsi" w:cstheme="minorHAnsi"/>
              </w:rPr>
              <w:t>The purpose of this article is to review and summarize evidence-based interventions for children with autism, focusing on approaches that have been rigorously studied and shown to be effective. This is significant for educators because it underscores the importance of selecting interventions that are both research-supported and practical for classroom implementation. By understanding these interventions, educators can make informed decisions that support skill development and inclusion.</w:t>
            </w:r>
          </w:p>
        </w:tc>
      </w:tr>
      <w:tr w:rsidR="003D7C2E" w:rsidRPr="00E4529B" w14:paraId="5E054BC7" w14:textId="77777777" w:rsidTr="000F4E6E">
        <w:tc>
          <w:tcPr>
            <w:tcW w:w="11347" w:type="dxa"/>
            <w:shd w:val="clear" w:color="auto" w:fill="2E74B5" w:themeFill="accent1" w:themeFillShade="BF"/>
          </w:tcPr>
          <w:p w14:paraId="52E60972" w14:textId="676823DF" w:rsidR="003D7C2E" w:rsidRPr="00E4529B" w:rsidRDefault="007E750E" w:rsidP="007E750E">
            <w:pPr>
              <w:contextualSpacing/>
              <w:rPr>
                <w:rFonts w:asciiTheme="minorHAnsi" w:hAnsiTheme="minorHAnsi" w:cstheme="minorHAnsi"/>
              </w:rPr>
            </w:pPr>
            <w:r w:rsidRPr="00E4529B">
              <w:rPr>
                <w:rFonts w:asciiTheme="minorHAnsi" w:hAnsiTheme="minorHAnsi" w:cstheme="minorHAnsi"/>
                <w:b/>
                <w:bCs/>
                <w:color w:val="FFFFFF" w:themeColor="background1"/>
              </w:rPr>
              <w:t xml:space="preserve">Five Key Findings Related to Your Practice – </w:t>
            </w:r>
            <w:r w:rsidRPr="00E4529B">
              <w:rPr>
                <w:rFonts w:asciiTheme="minorHAnsi" w:hAnsiTheme="minorHAnsi" w:cstheme="minorHAnsi"/>
                <w:color w:val="FFFFFF" w:themeColor="background1"/>
              </w:rPr>
              <w:t>How might you apply the results in your setting?</w:t>
            </w:r>
          </w:p>
        </w:tc>
      </w:tr>
      <w:tr w:rsidR="003D7C2E" w:rsidRPr="00E4529B" w14:paraId="66476889" w14:textId="77777777" w:rsidTr="000F4E6E">
        <w:tc>
          <w:tcPr>
            <w:tcW w:w="11347" w:type="dxa"/>
          </w:tcPr>
          <w:p w14:paraId="025B2C33" w14:textId="77777777" w:rsidR="00F17779" w:rsidRPr="00E4529B" w:rsidRDefault="00F17779" w:rsidP="00F17779">
            <w:pPr>
              <w:pStyle w:val="ListParagraph"/>
              <w:numPr>
                <w:ilvl w:val="0"/>
                <w:numId w:val="19"/>
              </w:numPr>
              <w:rPr>
                <w:rFonts w:cstheme="minorHAnsi"/>
              </w:rPr>
            </w:pPr>
            <w:r w:rsidRPr="00E4529B">
              <w:rPr>
                <w:rFonts w:cstheme="minorHAnsi"/>
              </w:rPr>
              <w:t>Early, intensive interventions improve outcomes. Starting early and providing adequate intensity enhances learning, social, and communication skills.</w:t>
            </w:r>
          </w:p>
          <w:p w14:paraId="09706DEB" w14:textId="77777777" w:rsidR="00F17779" w:rsidRPr="00E4529B" w:rsidRDefault="00F17779" w:rsidP="00F17779">
            <w:pPr>
              <w:pStyle w:val="ListParagraph"/>
              <w:rPr>
                <w:rFonts w:cstheme="minorHAnsi"/>
              </w:rPr>
            </w:pPr>
          </w:p>
          <w:p w14:paraId="7EBB41A4" w14:textId="77777777" w:rsidR="00F17779" w:rsidRPr="00E4529B" w:rsidRDefault="00F17779" w:rsidP="00F17779">
            <w:pPr>
              <w:pStyle w:val="ListParagraph"/>
              <w:numPr>
                <w:ilvl w:val="0"/>
                <w:numId w:val="19"/>
              </w:numPr>
              <w:rPr>
                <w:rFonts w:cstheme="minorHAnsi"/>
              </w:rPr>
            </w:pPr>
            <w:r w:rsidRPr="00E4529B">
              <w:rPr>
                <w:rFonts w:cstheme="minorHAnsi"/>
              </w:rPr>
              <w:t>Behavioral strategies are effective across settings. ABA and other supports work in classroom, home, and therapy contexts.</w:t>
            </w:r>
          </w:p>
          <w:p w14:paraId="559FA709" w14:textId="77777777" w:rsidR="00F17779" w:rsidRPr="00E4529B" w:rsidRDefault="00F17779" w:rsidP="00F17779">
            <w:pPr>
              <w:rPr>
                <w:rFonts w:asciiTheme="minorHAnsi" w:hAnsiTheme="minorHAnsi" w:cstheme="minorHAnsi"/>
              </w:rPr>
            </w:pPr>
          </w:p>
          <w:p w14:paraId="70D23BB8" w14:textId="77777777" w:rsidR="00F17779" w:rsidRPr="00E4529B" w:rsidRDefault="00F17779" w:rsidP="00F17779">
            <w:pPr>
              <w:pStyle w:val="ListParagraph"/>
              <w:numPr>
                <w:ilvl w:val="0"/>
                <w:numId w:val="19"/>
              </w:numPr>
              <w:rPr>
                <w:rFonts w:cstheme="minorHAnsi"/>
              </w:rPr>
            </w:pPr>
            <w:r w:rsidRPr="00E4529B">
              <w:rPr>
                <w:rFonts w:cstheme="minorHAnsi"/>
              </w:rPr>
              <w:t>Social communication interventions boost participation. Targeted strategies increase engagement with peers and adults.</w:t>
            </w:r>
          </w:p>
          <w:p w14:paraId="7309F142" w14:textId="77777777" w:rsidR="00F17779" w:rsidRPr="00E4529B" w:rsidRDefault="00F17779" w:rsidP="00F17779">
            <w:pPr>
              <w:rPr>
                <w:rFonts w:asciiTheme="minorHAnsi" w:hAnsiTheme="minorHAnsi" w:cstheme="minorHAnsi"/>
              </w:rPr>
            </w:pPr>
          </w:p>
          <w:p w14:paraId="4C49FE73" w14:textId="77777777" w:rsidR="00F17779" w:rsidRPr="00E4529B" w:rsidRDefault="00F17779" w:rsidP="00F17779">
            <w:pPr>
              <w:pStyle w:val="ListParagraph"/>
              <w:numPr>
                <w:ilvl w:val="0"/>
                <w:numId w:val="19"/>
              </w:numPr>
              <w:rPr>
                <w:rFonts w:cstheme="minorHAnsi"/>
              </w:rPr>
            </w:pPr>
            <w:r w:rsidRPr="00E4529B">
              <w:rPr>
                <w:rFonts w:cstheme="minorHAnsi"/>
              </w:rPr>
              <w:t>Individualization is essential. Supports must align with each child’s strengths, needs, and sensory profile.</w:t>
            </w:r>
          </w:p>
          <w:p w14:paraId="412BEE68" w14:textId="77777777" w:rsidR="00F17779" w:rsidRPr="00E4529B" w:rsidRDefault="00F17779" w:rsidP="00F17779">
            <w:pPr>
              <w:rPr>
                <w:rFonts w:asciiTheme="minorHAnsi" w:hAnsiTheme="minorHAnsi" w:cstheme="minorHAnsi"/>
              </w:rPr>
            </w:pPr>
          </w:p>
          <w:p w14:paraId="035B7295" w14:textId="4DB35E50" w:rsidR="003D7C2E" w:rsidRPr="00E4529B" w:rsidRDefault="00F17779" w:rsidP="00F17779">
            <w:pPr>
              <w:pStyle w:val="ListParagraph"/>
              <w:numPr>
                <w:ilvl w:val="0"/>
                <w:numId w:val="19"/>
              </w:numPr>
              <w:rPr>
                <w:rFonts w:cstheme="minorHAnsi"/>
              </w:rPr>
            </w:pPr>
            <w:r w:rsidRPr="00E4529B">
              <w:rPr>
                <w:rFonts w:cstheme="minorHAnsi"/>
              </w:rPr>
              <w:t>Collaboration improves consistency. Coordinated efforts among educators, therapists, and families reinforce learning and skill generalization.</w:t>
            </w:r>
          </w:p>
        </w:tc>
      </w:tr>
      <w:tr w:rsidR="003D7C2E" w:rsidRPr="008926A5" w14:paraId="606CB030" w14:textId="77777777" w:rsidTr="000F4E6E">
        <w:tc>
          <w:tcPr>
            <w:tcW w:w="11347" w:type="dxa"/>
            <w:shd w:val="clear" w:color="auto" w:fill="1F4E79" w:themeFill="accent1" w:themeFillShade="80"/>
          </w:tcPr>
          <w:p w14:paraId="262123F2" w14:textId="77777777" w:rsidR="003D7C2E" w:rsidRPr="008926A5" w:rsidRDefault="003D7C2E" w:rsidP="007E750E">
            <w:pPr>
              <w:contextualSpacing/>
              <w:rPr>
                <w:rFonts w:asciiTheme="majorHAnsi" w:hAnsiTheme="majorHAnsi" w:cstheme="majorHAnsi"/>
                <w:b/>
                <w:bCs/>
                <w:color w:val="FFFFFF" w:themeColor="background1"/>
                <w:sz w:val="24"/>
                <w:szCs w:val="24"/>
              </w:rPr>
            </w:pPr>
          </w:p>
        </w:tc>
      </w:tr>
    </w:tbl>
    <w:p w14:paraId="3D4BAC53" w14:textId="77777777" w:rsidR="00B47545" w:rsidRPr="008926A5" w:rsidRDefault="00B47545" w:rsidP="007E750E">
      <w:pPr>
        <w:spacing w:line="240" w:lineRule="auto"/>
        <w:contextualSpacing/>
        <w:rPr>
          <w:rFonts w:asciiTheme="majorHAnsi" w:hAnsiTheme="majorHAnsi" w:cstheme="majorHAnsi"/>
          <w:sz w:val="24"/>
          <w:szCs w:val="24"/>
        </w:rPr>
      </w:pPr>
    </w:p>
    <w:sectPr w:rsidR="00B47545" w:rsidRPr="008926A5" w:rsidSect="003D7C2E">
      <w:headerReference w:type="default" r:id="rId14"/>
      <w:footerReference w:type="default" r:id="rId15"/>
      <w:pgSz w:w="12240" w:h="15840"/>
      <w:pgMar w:top="1440" w:right="1440" w:bottom="1440" w:left="144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43AB" w14:textId="77777777" w:rsidR="004E2FD6" w:rsidRDefault="004E2FD6" w:rsidP="002A0533">
      <w:r>
        <w:separator/>
      </w:r>
    </w:p>
  </w:endnote>
  <w:endnote w:type="continuationSeparator" w:id="0">
    <w:p w14:paraId="27061ECC" w14:textId="77777777" w:rsidR="004E2FD6" w:rsidRDefault="004E2FD6" w:rsidP="002A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2FB1" w14:textId="77777777" w:rsidR="00D70074" w:rsidRDefault="00D70074" w:rsidP="00611418">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5CA0" w14:textId="77777777" w:rsidR="004E2FD6" w:rsidRDefault="004E2FD6" w:rsidP="002A0533">
      <w:r>
        <w:separator/>
      </w:r>
    </w:p>
  </w:footnote>
  <w:footnote w:type="continuationSeparator" w:id="0">
    <w:p w14:paraId="0B7BC3D8" w14:textId="77777777" w:rsidR="004E2FD6" w:rsidRDefault="004E2FD6" w:rsidP="002A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DF3D" w14:textId="78456EEC" w:rsidR="000E2A1E" w:rsidRDefault="000E2A1E">
    <w:pPr>
      <w:pStyle w:val="Header"/>
    </w:pPr>
  </w:p>
  <w:p w14:paraId="1ABD4F85" w14:textId="6BA0577D" w:rsidR="000E2A1E" w:rsidRDefault="000E2A1E">
    <w:pPr>
      <w:pStyle w:val="Header"/>
    </w:pPr>
  </w:p>
  <w:p w14:paraId="01493CC4" w14:textId="71ACE379" w:rsidR="000E2A1E" w:rsidRDefault="000E2A1E">
    <w:pPr>
      <w:pStyle w:val="Header"/>
    </w:pPr>
  </w:p>
  <w:p w14:paraId="109F829C" w14:textId="52625E08" w:rsidR="000E2A1E" w:rsidRDefault="000E2A1E">
    <w:pPr>
      <w:pStyle w:val="Header"/>
    </w:pPr>
  </w:p>
  <w:p w14:paraId="2BAADD55" w14:textId="54F9BFF3" w:rsidR="000E2A1E" w:rsidRDefault="000E2A1E">
    <w:pPr>
      <w:pStyle w:val="Header"/>
    </w:pPr>
    <w:r>
      <w:rPr>
        <w:noProof/>
      </w:rPr>
      <w:drawing>
        <wp:inline distT="0" distB="0" distL="0" distR="0" wp14:anchorId="0C459E5A" wp14:editId="65D8AAB3">
          <wp:extent cx="2448560" cy="410845"/>
          <wp:effectExtent l="0" t="0" r="8890" b="8255"/>
          <wp:docPr id="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a:srcRect/>
                  <a:stretch>
                    <a:fillRect/>
                  </a:stretch>
                </pic:blipFill>
                <pic:spPr>
                  <a:xfrm>
                    <a:off x="0" y="0"/>
                    <a:ext cx="2448560" cy="4108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7C4"/>
    <w:multiLevelType w:val="hybridMultilevel"/>
    <w:tmpl w:val="13E0B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50F4"/>
    <w:multiLevelType w:val="hybridMultilevel"/>
    <w:tmpl w:val="F44007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4FA1"/>
    <w:multiLevelType w:val="hybridMultilevel"/>
    <w:tmpl w:val="573AB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686EAF"/>
    <w:multiLevelType w:val="hybridMultilevel"/>
    <w:tmpl w:val="E3386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C2737"/>
    <w:multiLevelType w:val="hybridMultilevel"/>
    <w:tmpl w:val="3BB27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470741"/>
    <w:multiLevelType w:val="hybridMultilevel"/>
    <w:tmpl w:val="A6162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48DF"/>
    <w:multiLevelType w:val="hybridMultilevel"/>
    <w:tmpl w:val="D37CF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F681C"/>
    <w:multiLevelType w:val="hybridMultilevel"/>
    <w:tmpl w:val="3F7E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32678"/>
    <w:multiLevelType w:val="hybridMultilevel"/>
    <w:tmpl w:val="CEF40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77F32"/>
    <w:multiLevelType w:val="hybridMultilevel"/>
    <w:tmpl w:val="19DA3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FC7F9B"/>
    <w:multiLevelType w:val="hybridMultilevel"/>
    <w:tmpl w:val="5B6E1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062DA"/>
    <w:multiLevelType w:val="hybridMultilevel"/>
    <w:tmpl w:val="25CE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43D75"/>
    <w:multiLevelType w:val="hybridMultilevel"/>
    <w:tmpl w:val="F7A40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F62161"/>
    <w:multiLevelType w:val="hybridMultilevel"/>
    <w:tmpl w:val="799CE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33DF9"/>
    <w:multiLevelType w:val="hybridMultilevel"/>
    <w:tmpl w:val="429A5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963CB"/>
    <w:multiLevelType w:val="hybridMultilevel"/>
    <w:tmpl w:val="B11E6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B25B2"/>
    <w:multiLevelType w:val="hybridMultilevel"/>
    <w:tmpl w:val="2F9CB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25E8A"/>
    <w:multiLevelType w:val="hybridMultilevel"/>
    <w:tmpl w:val="395CC7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D328F"/>
    <w:multiLevelType w:val="hybridMultilevel"/>
    <w:tmpl w:val="85AA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C6979"/>
    <w:multiLevelType w:val="multilevel"/>
    <w:tmpl w:val="2F4C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67F21"/>
    <w:multiLevelType w:val="hybridMultilevel"/>
    <w:tmpl w:val="B03C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12EA1"/>
    <w:multiLevelType w:val="hybridMultilevel"/>
    <w:tmpl w:val="01B4D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D3597B"/>
    <w:multiLevelType w:val="hybridMultilevel"/>
    <w:tmpl w:val="2AD80D3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1852538">
    <w:abstractNumId w:val="11"/>
  </w:num>
  <w:num w:numId="2" w16cid:durableId="1650205260">
    <w:abstractNumId w:val="18"/>
  </w:num>
  <w:num w:numId="3" w16cid:durableId="1946380903">
    <w:abstractNumId w:val="10"/>
  </w:num>
  <w:num w:numId="4" w16cid:durableId="1368096405">
    <w:abstractNumId w:val="0"/>
  </w:num>
  <w:num w:numId="5" w16cid:durableId="340476949">
    <w:abstractNumId w:val="16"/>
  </w:num>
  <w:num w:numId="6" w16cid:durableId="631058859">
    <w:abstractNumId w:val="15"/>
  </w:num>
  <w:num w:numId="7" w16cid:durableId="1362902028">
    <w:abstractNumId w:val="17"/>
  </w:num>
  <w:num w:numId="8" w16cid:durableId="1170869880">
    <w:abstractNumId w:val="8"/>
  </w:num>
  <w:num w:numId="9" w16cid:durableId="790587448">
    <w:abstractNumId w:val="6"/>
  </w:num>
  <w:num w:numId="10" w16cid:durableId="130834578">
    <w:abstractNumId w:val="14"/>
  </w:num>
  <w:num w:numId="11" w16cid:durableId="632516975">
    <w:abstractNumId w:val="1"/>
  </w:num>
  <w:num w:numId="12" w16cid:durableId="1828284005">
    <w:abstractNumId w:val="5"/>
  </w:num>
  <w:num w:numId="13" w16cid:durableId="223224653">
    <w:abstractNumId w:val="20"/>
  </w:num>
  <w:num w:numId="14" w16cid:durableId="203294141">
    <w:abstractNumId w:val="2"/>
  </w:num>
  <w:num w:numId="15" w16cid:durableId="2010785279">
    <w:abstractNumId w:val="21"/>
  </w:num>
  <w:num w:numId="16" w16cid:durableId="258223597">
    <w:abstractNumId w:val="13"/>
  </w:num>
  <w:num w:numId="17" w16cid:durableId="291137589">
    <w:abstractNumId w:val="19"/>
  </w:num>
  <w:num w:numId="18" w16cid:durableId="2017492613">
    <w:abstractNumId w:val="3"/>
  </w:num>
  <w:num w:numId="19" w16cid:durableId="624626148">
    <w:abstractNumId w:val="9"/>
  </w:num>
  <w:num w:numId="20" w16cid:durableId="2121412938">
    <w:abstractNumId w:val="22"/>
  </w:num>
  <w:num w:numId="21" w16cid:durableId="1494371416">
    <w:abstractNumId w:val="4"/>
  </w:num>
  <w:num w:numId="22" w16cid:durableId="8726914">
    <w:abstractNumId w:val="7"/>
  </w:num>
  <w:num w:numId="23" w16cid:durableId="420680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9D"/>
    <w:rsid w:val="00022711"/>
    <w:rsid w:val="00041BF8"/>
    <w:rsid w:val="000445E8"/>
    <w:rsid w:val="000516B5"/>
    <w:rsid w:val="00051877"/>
    <w:rsid w:val="00064CF4"/>
    <w:rsid w:val="00082C4C"/>
    <w:rsid w:val="00083E8B"/>
    <w:rsid w:val="000B0245"/>
    <w:rsid w:val="000B6F22"/>
    <w:rsid w:val="000D3CEF"/>
    <w:rsid w:val="000E2A1E"/>
    <w:rsid w:val="000F188D"/>
    <w:rsid w:val="000F4E6E"/>
    <w:rsid w:val="00101969"/>
    <w:rsid w:val="00144CCB"/>
    <w:rsid w:val="00145D47"/>
    <w:rsid w:val="00153B16"/>
    <w:rsid w:val="00185029"/>
    <w:rsid w:val="001862DA"/>
    <w:rsid w:val="00192711"/>
    <w:rsid w:val="001A6904"/>
    <w:rsid w:val="001D708D"/>
    <w:rsid w:val="001D7309"/>
    <w:rsid w:val="001F6183"/>
    <w:rsid w:val="002A0533"/>
    <w:rsid w:val="002C3935"/>
    <w:rsid w:val="002C3C3E"/>
    <w:rsid w:val="002C3CF8"/>
    <w:rsid w:val="002E24C8"/>
    <w:rsid w:val="002F371F"/>
    <w:rsid w:val="00312353"/>
    <w:rsid w:val="003144A1"/>
    <w:rsid w:val="00354902"/>
    <w:rsid w:val="00366842"/>
    <w:rsid w:val="003A1A18"/>
    <w:rsid w:val="003C7677"/>
    <w:rsid w:val="003D7C2E"/>
    <w:rsid w:val="003E3BFD"/>
    <w:rsid w:val="003F3614"/>
    <w:rsid w:val="00407AF2"/>
    <w:rsid w:val="00410638"/>
    <w:rsid w:val="00415067"/>
    <w:rsid w:val="00415371"/>
    <w:rsid w:val="00423C7C"/>
    <w:rsid w:val="004776D0"/>
    <w:rsid w:val="004A2426"/>
    <w:rsid w:val="004C42E9"/>
    <w:rsid w:val="004D0A48"/>
    <w:rsid w:val="004D3974"/>
    <w:rsid w:val="004E2FD6"/>
    <w:rsid w:val="00510B5B"/>
    <w:rsid w:val="00511D58"/>
    <w:rsid w:val="00527DA3"/>
    <w:rsid w:val="005339CF"/>
    <w:rsid w:val="00543DF5"/>
    <w:rsid w:val="005526C2"/>
    <w:rsid w:val="005644B6"/>
    <w:rsid w:val="00564811"/>
    <w:rsid w:val="00571A33"/>
    <w:rsid w:val="00583BD1"/>
    <w:rsid w:val="0058741B"/>
    <w:rsid w:val="00595E3E"/>
    <w:rsid w:val="005A1D6B"/>
    <w:rsid w:val="005A5B34"/>
    <w:rsid w:val="005A7C8F"/>
    <w:rsid w:val="00611418"/>
    <w:rsid w:val="00612363"/>
    <w:rsid w:val="00625980"/>
    <w:rsid w:val="006411C8"/>
    <w:rsid w:val="00643E77"/>
    <w:rsid w:val="0066722E"/>
    <w:rsid w:val="006B561A"/>
    <w:rsid w:val="006B650D"/>
    <w:rsid w:val="006C3B68"/>
    <w:rsid w:val="006D0431"/>
    <w:rsid w:val="006D309C"/>
    <w:rsid w:val="006D512E"/>
    <w:rsid w:val="00722CA0"/>
    <w:rsid w:val="0072333B"/>
    <w:rsid w:val="0072725B"/>
    <w:rsid w:val="00763719"/>
    <w:rsid w:val="00771B55"/>
    <w:rsid w:val="007752EA"/>
    <w:rsid w:val="007A2A4B"/>
    <w:rsid w:val="007B2987"/>
    <w:rsid w:val="007C77C2"/>
    <w:rsid w:val="007E750E"/>
    <w:rsid w:val="007F78FB"/>
    <w:rsid w:val="007F7A8B"/>
    <w:rsid w:val="0080104D"/>
    <w:rsid w:val="00801555"/>
    <w:rsid w:val="00803D0B"/>
    <w:rsid w:val="00855F98"/>
    <w:rsid w:val="00857187"/>
    <w:rsid w:val="00861BAE"/>
    <w:rsid w:val="008926A5"/>
    <w:rsid w:val="008A0E5F"/>
    <w:rsid w:val="008C48EF"/>
    <w:rsid w:val="008F3290"/>
    <w:rsid w:val="009370C9"/>
    <w:rsid w:val="00951E25"/>
    <w:rsid w:val="00993D8B"/>
    <w:rsid w:val="009D790D"/>
    <w:rsid w:val="00A039B3"/>
    <w:rsid w:val="00A366A7"/>
    <w:rsid w:val="00A45077"/>
    <w:rsid w:val="00A6520A"/>
    <w:rsid w:val="00A8056F"/>
    <w:rsid w:val="00A9370B"/>
    <w:rsid w:val="00AC584C"/>
    <w:rsid w:val="00AC7C1F"/>
    <w:rsid w:val="00AD22AF"/>
    <w:rsid w:val="00B13BBF"/>
    <w:rsid w:val="00B15EA5"/>
    <w:rsid w:val="00B20D20"/>
    <w:rsid w:val="00B24A48"/>
    <w:rsid w:val="00B47545"/>
    <w:rsid w:val="00B94823"/>
    <w:rsid w:val="00BA0807"/>
    <w:rsid w:val="00BB3E4C"/>
    <w:rsid w:val="00BC6A5F"/>
    <w:rsid w:val="00C06B4B"/>
    <w:rsid w:val="00C26DCC"/>
    <w:rsid w:val="00C73265"/>
    <w:rsid w:val="00C84655"/>
    <w:rsid w:val="00CE321A"/>
    <w:rsid w:val="00CE5844"/>
    <w:rsid w:val="00CF4690"/>
    <w:rsid w:val="00D251BE"/>
    <w:rsid w:val="00D454C8"/>
    <w:rsid w:val="00D457F2"/>
    <w:rsid w:val="00D70074"/>
    <w:rsid w:val="00D9235B"/>
    <w:rsid w:val="00D9296A"/>
    <w:rsid w:val="00DA5AC8"/>
    <w:rsid w:val="00DA7957"/>
    <w:rsid w:val="00DE0814"/>
    <w:rsid w:val="00DF279D"/>
    <w:rsid w:val="00E117E4"/>
    <w:rsid w:val="00E30D00"/>
    <w:rsid w:val="00E3382E"/>
    <w:rsid w:val="00E351B8"/>
    <w:rsid w:val="00E352EE"/>
    <w:rsid w:val="00E4529B"/>
    <w:rsid w:val="00E61E89"/>
    <w:rsid w:val="00E64D41"/>
    <w:rsid w:val="00E73804"/>
    <w:rsid w:val="00E91A3B"/>
    <w:rsid w:val="00EA2EAD"/>
    <w:rsid w:val="00EB1DCE"/>
    <w:rsid w:val="00ED1935"/>
    <w:rsid w:val="00EF55B6"/>
    <w:rsid w:val="00F034C1"/>
    <w:rsid w:val="00F102EB"/>
    <w:rsid w:val="00F17779"/>
    <w:rsid w:val="00F237B9"/>
    <w:rsid w:val="00F26684"/>
    <w:rsid w:val="00F30EEB"/>
    <w:rsid w:val="00F4336C"/>
    <w:rsid w:val="00F44FEE"/>
    <w:rsid w:val="00F75C4D"/>
    <w:rsid w:val="00F912EB"/>
    <w:rsid w:val="00F96834"/>
    <w:rsid w:val="00FA084D"/>
    <w:rsid w:val="00FB47C6"/>
    <w:rsid w:val="00FB5052"/>
    <w:rsid w:val="00FC35AE"/>
    <w:rsid w:val="00FD6244"/>
    <w:rsid w:val="00FE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399C"/>
  <w15:docId w15:val="{2C4256A5-445C-45C9-8604-B5DB5654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7187"/>
    <w:rPr>
      <w:rFonts w:ascii="Arial" w:hAnsi="Arial" w:cs="Arial"/>
    </w:rPr>
  </w:style>
  <w:style w:type="paragraph" w:styleId="Heading1">
    <w:name w:val="heading 1"/>
    <w:basedOn w:val="Normal"/>
    <w:next w:val="Normal"/>
    <w:link w:val="Heading1Char"/>
    <w:uiPriority w:val="9"/>
    <w:qFormat/>
    <w:rsid w:val="00B47545"/>
    <w:pPr>
      <w:keepNext/>
      <w:keepLines/>
      <w:spacing w:before="120" w:after="120"/>
      <w:outlineLvl w:val="0"/>
    </w:pPr>
    <w:rPr>
      <w:rFonts w:ascii="Georgia" w:eastAsia="Arial" w:hAnsi="Georgia"/>
      <w:b/>
      <w:color w:val="FFFFFF" w:themeColor="background1"/>
      <w:sz w:val="32"/>
      <w:szCs w:val="32"/>
    </w:rPr>
  </w:style>
  <w:style w:type="paragraph" w:styleId="Heading2">
    <w:name w:val="heading 2"/>
    <w:basedOn w:val="Normal"/>
    <w:next w:val="Normal"/>
    <w:link w:val="Heading2Char"/>
    <w:uiPriority w:val="9"/>
    <w:unhideWhenUsed/>
    <w:qFormat/>
    <w:rsid w:val="00BB3E4C"/>
    <w:pPr>
      <w:keepNext/>
      <w:keepLines/>
      <w:spacing w:before="120" w:after="120"/>
      <w:outlineLvl w:val="1"/>
    </w:pPr>
    <w:rPr>
      <w:rFonts w:ascii="Georgia" w:eastAsia="Arial" w:hAnsi="Georgia"/>
      <w:color w:val="005681"/>
      <w:sz w:val="32"/>
      <w:szCs w:val="32"/>
    </w:rPr>
  </w:style>
  <w:style w:type="paragraph" w:styleId="Heading3">
    <w:name w:val="heading 3"/>
    <w:basedOn w:val="Normal"/>
    <w:next w:val="Normal"/>
    <w:link w:val="Heading3Char"/>
    <w:uiPriority w:val="9"/>
    <w:unhideWhenUsed/>
    <w:qFormat/>
    <w:rsid w:val="00BB3E4C"/>
    <w:pPr>
      <w:outlineLvl w:val="2"/>
    </w:pPr>
    <w:rPr>
      <w:rFonts w:ascii="Georgia" w:eastAsia="Arial" w:hAnsi="Georgia"/>
      <w:color w:val="005681"/>
      <w:sz w:val="28"/>
      <w:szCs w:val="32"/>
    </w:rPr>
  </w:style>
  <w:style w:type="paragraph" w:styleId="Heading4">
    <w:name w:val="heading 4"/>
    <w:basedOn w:val="Heading3"/>
    <w:next w:val="Normal"/>
    <w:link w:val="Heading4Char"/>
    <w:uiPriority w:val="9"/>
    <w:unhideWhenUsed/>
    <w:qFormat/>
    <w:rsid w:val="00BB3E4C"/>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79D"/>
  </w:style>
  <w:style w:type="paragraph" w:styleId="Footer">
    <w:name w:val="footer"/>
    <w:basedOn w:val="Normal"/>
    <w:link w:val="FooterChar"/>
    <w:uiPriority w:val="99"/>
    <w:unhideWhenUsed/>
    <w:rsid w:val="00DF2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79D"/>
  </w:style>
  <w:style w:type="paragraph" w:styleId="BalloonText">
    <w:name w:val="Balloon Text"/>
    <w:basedOn w:val="Normal"/>
    <w:link w:val="BalloonTextChar"/>
    <w:uiPriority w:val="99"/>
    <w:semiHidden/>
    <w:unhideWhenUsed/>
    <w:rsid w:val="00DF2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79D"/>
    <w:rPr>
      <w:rFonts w:ascii="Tahoma" w:hAnsi="Tahoma" w:cs="Tahoma"/>
      <w:sz w:val="16"/>
      <w:szCs w:val="16"/>
    </w:rPr>
  </w:style>
  <w:style w:type="table" w:styleId="TableGrid">
    <w:name w:val="Table Grid"/>
    <w:aliases w:val="KU Table"/>
    <w:basedOn w:val="TableNormal"/>
    <w:uiPriority w:val="59"/>
    <w:rsid w:val="002C3C3E"/>
    <w:pPr>
      <w:widowControl w:val="0"/>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themeFill="background1"/>
      <w:tcMar>
        <w:top w:w="115" w:type="dxa"/>
        <w:left w:w="115" w:type="dxa"/>
        <w:bottom w:w="115" w:type="dxa"/>
        <w:right w:w="115" w:type="dxa"/>
      </w:tcMar>
    </w:tcPr>
    <w:tblStylePr w:type="firstRow">
      <w:pPr>
        <w:jc w:val="center"/>
      </w:pPr>
      <w:rPr>
        <w:rFonts w:ascii="Arial" w:hAnsi="Arial"/>
        <w:b/>
        <w:sz w:val="22"/>
      </w:rPr>
      <w:tblPr/>
      <w:tcPr>
        <w:shd w:val="clear" w:color="auto" w:fill="004065"/>
        <w:vAlign w:val="center"/>
      </w:tcPr>
    </w:tblStylePr>
  </w:style>
  <w:style w:type="character" w:customStyle="1" w:styleId="Heading1Char">
    <w:name w:val="Heading 1 Char"/>
    <w:basedOn w:val="DefaultParagraphFont"/>
    <w:link w:val="Heading1"/>
    <w:uiPriority w:val="9"/>
    <w:rsid w:val="00B47545"/>
    <w:rPr>
      <w:rFonts w:ascii="Georgia" w:eastAsia="Arial" w:hAnsi="Georgia" w:cs="Arial"/>
      <w:b/>
      <w:color w:val="FFFFFF" w:themeColor="background1"/>
      <w:sz w:val="32"/>
      <w:szCs w:val="32"/>
    </w:rPr>
  </w:style>
  <w:style w:type="paragraph" w:customStyle="1" w:styleId="TableHeader">
    <w:name w:val="Table Header"/>
    <w:basedOn w:val="Normal"/>
    <w:link w:val="TableHeaderChar"/>
    <w:qFormat/>
    <w:rsid w:val="008A0E5F"/>
    <w:pPr>
      <w:widowControl w:val="0"/>
      <w:spacing w:after="0" w:line="240" w:lineRule="auto"/>
      <w:jc w:val="center"/>
    </w:pPr>
    <w:rPr>
      <w:b/>
      <w:color w:val="FFFFFF" w:themeColor="background1"/>
    </w:rPr>
  </w:style>
  <w:style w:type="character" w:customStyle="1" w:styleId="TableHeaderChar">
    <w:name w:val="Table Header Char"/>
    <w:basedOn w:val="DefaultParagraphFont"/>
    <w:link w:val="TableHeader"/>
    <w:rsid w:val="008A0E5F"/>
    <w:rPr>
      <w:rFonts w:ascii="Arial" w:hAnsi="Arial" w:cs="Arial"/>
      <w:b/>
      <w:color w:val="FFFFFF" w:themeColor="background1"/>
    </w:rPr>
  </w:style>
  <w:style w:type="character" w:customStyle="1" w:styleId="Heading2Char">
    <w:name w:val="Heading 2 Char"/>
    <w:basedOn w:val="DefaultParagraphFont"/>
    <w:link w:val="Heading2"/>
    <w:uiPriority w:val="9"/>
    <w:rsid w:val="00BB3E4C"/>
    <w:rPr>
      <w:rFonts w:ascii="Georgia" w:eastAsia="Arial" w:hAnsi="Georgia" w:cs="Arial"/>
      <w:color w:val="005681"/>
      <w:sz w:val="32"/>
      <w:szCs w:val="32"/>
    </w:rPr>
  </w:style>
  <w:style w:type="character" w:customStyle="1" w:styleId="Heading3Char">
    <w:name w:val="Heading 3 Char"/>
    <w:basedOn w:val="DefaultParagraphFont"/>
    <w:link w:val="Heading3"/>
    <w:uiPriority w:val="9"/>
    <w:rsid w:val="00BB3E4C"/>
    <w:rPr>
      <w:rFonts w:ascii="Georgia" w:eastAsia="Arial" w:hAnsi="Georgia" w:cs="Arial"/>
      <w:color w:val="005681"/>
      <w:sz w:val="28"/>
      <w:szCs w:val="32"/>
    </w:rPr>
  </w:style>
  <w:style w:type="character" w:customStyle="1" w:styleId="Heading4Char">
    <w:name w:val="Heading 4 Char"/>
    <w:basedOn w:val="DefaultParagraphFont"/>
    <w:link w:val="Heading4"/>
    <w:uiPriority w:val="9"/>
    <w:rsid w:val="00BB3E4C"/>
    <w:rPr>
      <w:rFonts w:ascii="Georgia" w:eastAsia="Arial" w:hAnsi="Georgia" w:cs="Arial"/>
      <w:color w:val="005681"/>
      <w:sz w:val="24"/>
      <w:szCs w:val="24"/>
    </w:rPr>
  </w:style>
  <w:style w:type="paragraph" w:styleId="Subtitle">
    <w:name w:val="Subtitle"/>
    <w:basedOn w:val="Normal"/>
    <w:next w:val="Normal"/>
    <w:link w:val="SubtitleChar"/>
    <w:uiPriority w:val="11"/>
    <w:rsid w:val="00E3382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3382E"/>
    <w:rPr>
      <w:rFonts w:eastAsiaTheme="minorEastAsia"/>
      <w:color w:val="5A5A5A" w:themeColor="text1" w:themeTint="A5"/>
      <w:spacing w:val="15"/>
    </w:rPr>
  </w:style>
  <w:style w:type="paragraph" w:styleId="Title">
    <w:name w:val="Title"/>
    <w:basedOn w:val="Normal"/>
    <w:next w:val="Normal"/>
    <w:link w:val="TitleChar"/>
    <w:uiPriority w:val="10"/>
    <w:rsid w:val="00DE0814"/>
    <w:pPr>
      <w:widowControl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1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0814"/>
    <w:pPr>
      <w:widowControl w:val="0"/>
      <w:ind w:left="720"/>
      <w:contextualSpacing/>
    </w:pPr>
    <w:rPr>
      <w:rFonts w:asciiTheme="minorHAnsi" w:hAnsiTheme="minorHAnsi" w:cstheme="minorBidi"/>
    </w:rPr>
  </w:style>
  <w:style w:type="table" w:styleId="PlainTable2">
    <w:name w:val="Plain Table 2"/>
    <w:basedOn w:val="TableNormal"/>
    <w:uiPriority w:val="42"/>
    <w:rsid w:val="00EB1D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B1D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rsid w:val="00857187"/>
    <w:rPr>
      <w:sz w:val="24"/>
      <w:szCs w:val="24"/>
    </w:rPr>
  </w:style>
  <w:style w:type="character" w:customStyle="1" w:styleId="InstructionsChar">
    <w:name w:val="Instructions Char"/>
    <w:basedOn w:val="DefaultParagraphFont"/>
    <w:link w:val="Instructions"/>
    <w:rsid w:val="00857187"/>
    <w:rPr>
      <w:rFonts w:ascii="Arial" w:hAnsi="Arial" w:cs="Arial"/>
      <w:sz w:val="24"/>
      <w:szCs w:val="24"/>
    </w:rPr>
  </w:style>
  <w:style w:type="character" w:styleId="Hyperlink">
    <w:name w:val="Hyperlink"/>
    <w:basedOn w:val="DefaultParagraphFont"/>
    <w:uiPriority w:val="99"/>
    <w:unhideWhenUsed/>
    <w:rsid w:val="00051877"/>
    <w:rPr>
      <w:color w:val="0000FF"/>
      <w:u w:val="single"/>
    </w:rPr>
  </w:style>
  <w:style w:type="paragraph" w:styleId="NormalWeb">
    <w:name w:val="Normal (Web)"/>
    <w:basedOn w:val="Normal"/>
    <w:uiPriority w:val="99"/>
    <w:unhideWhenUsed/>
    <w:rsid w:val="000518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51877"/>
    <w:rPr>
      <w:b/>
      <w:bCs/>
    </w:rPr>
  </w:style>
  <w:style w:type="character" w:styleId="UnresolvedMention">
    <w:name w:val="Unresolved Mention"/>
    <w:basedOn w:val="DefaultParagraphFont"/>
    <w:uiPriority w:val="99"/>
    <w:rsid w:val="00D457F2"/>
    <w:rPr>
      <w:color w:val="605E5C"/>
      <w:shd w:val="clear" w:color="auto" w:fill="E1DFDD"/>
    </w:rPr>
  </w:style>
  <w:style w:type="character" w:styleId="Emphasis">
    <w:name w:val="Emphasis"/>
    <w:basedOn w:val="DefaultParagraphFont"/>
    <w:uiPriority w:val="20"/>
    <w:qFormat/>
    <w:rsid w:val="001D7309"/>
    <w:rPr>
      <w:i/>
      <w:iCs/>
    </w:rPr>
  </w:style>
  <w:style w:type="character" w:styleId="FollowedHyperlink">
    <w:name w:val="FollowedHyperlink"/>
    <w:basedOn w:val="DefaultParagraphFont"/>
    <w:uiPriority w:val="99"/>
    <w:semiHidden/>
    <w:unhideWhenUsed/>
    <w:rsid w:val="00153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5766">
      <w:bodyDiv w:val="1"/>
      <w:marLeft w:val="0"/>
      <w:marRight w:val="0"/>
      <w:marTop w:val="0"/>
      <w:marBottom w:val="0"/>
      <w:divBdr>
        <w:top w:val="none" w:sz="0" w:space="0" w:color="auto"/>
        <w:left w:val="none" w:sz="0" w:space="0" w:color="auto"/>
        <w:bottom w:val="none" w:sz="0" w:space="0" w:color="auto"/>
        <w:right w:val="none" w:sz="0" w:space="0" w:color="auto"/>
      </w:divBdr>
    </w:div>
    <w:div w:id="675807976">
      <w:bodyDiv w:val="1"/>
      <w:marLeft w:val="0"/>
      <w:marRight w:val="0"/>
      <w:marTop w:val="0"/>
      <w:marBottom w:val="0"/>
      <w:divBdr>
        <w:top w:val="none" w:sz="0" w:space="0" w:color="auto"/>
        <w:left w:val="none" w:sz="0" w:space="0" w:color="auto"/>
        <w:bottom w:val="none" w:sz="0" w:space="0" w:color="auto"/>
        <w:right w:val="none" w:sz="0" w:space="0" w:color="auto"/>
      </w:divBdr>
    </w:div>
    <w:div w:id="839124410">
      <w:bodyDiv w:val="1"/>
      <w:marLeft w:val="0"/>
      <w:marRight w:val="0"/>
      <w:marTop w:val="0"/>
      <w:marBottom w:val="0"/>
      <w:divBdr>
        <w:top w:val="none" w:sz="0" w:space="0" w:color="auto"/>
        <w:left w:val="none" w:sz="0" w:space="0" w:color="auto"/>
        <w:bottom w:val="none" w:sz="0" w:space="0" w:color="auto"/>
        <w:right w:val="none" w:sz="0" w:space="0" w:color="auto"/>
      </w:divBdr>
    </w:div>
    <w:div w:id="1699813012">
      <w:bodyDiv w:val="1"/>
      <w:marLeft w:val="0"/>
      <w:marRight w:val="0"/>
      <w:marTop w:val="0"/>
      <w:marBottom w:val="0"/>
      <w:divBdr>
        <w:top w:val="none" w:sz="0" w:space="0" w:color="auto"/>
        <w:left w:val="none" w:sz="0" w:space="0" w:color="auto"/>
        <w:bottom w:val="none" w:sz="0" w:space="0" w:color="auto"/>
        <w:right w:val="none" w:sz="0" w:space="0" w:color="auto"/>
      </w:divBdr>
    </w:div>
    <w:div w:id="1983461229">
      <w:bodyDiv w:val="1"/>
      <w:marLeft w:val="0"/>
      <w:marRight w:val="0"/>
      <w:marTop w:val="0"/>
      <w:marBottom w:val="0"/>
      <w:divBdr>
        <w:top w:val="none" w:sz="0" w:space="0" w:color="auto"/>
        <w:left w:val="none" w:sz="0" w:space="0" w:color="auto"/>
        <w:bottom w:val="none" w:sz="0" w:space="0" w:color="auto"/>
        <w:right w:val="none" w:sz="0" w:space="0" w:color="auto"/>
      </w:divBdr>
      <w:divsChild>
        <w:div w:id="241987163">
          <w:marLeft w:val="0"/>
          <w:marRight w:val="0"/>
          <w:marTop w:val="0"/>
          <w:marBottom w:val="0"/>
          <w:divBdr>
            <w:top w:val="none" w:sz="0" w:space="0" w:color="auto"/>
            <w:left w:val="none" w:sz="0" w:space="0" w:color="auto"/>
            <w:bottom w:val="none" w:sz="0" w:space="0" w:color="auto"/>
            <w:right w:val="none" w:sz="0" w:space="0" w:color="auto"/>
          </w:divBdr>
        </w:div>
        <w:div w:id="977299414">
          <w:marLeft w:val="0"/>
          <w:marRight w:val="0"/>
          <w:marTop w:val="0"/>
          <w:marBottom w:val="0"/>
          <w:divBdr>
            <w:top w:val="none" w:sz="0" w:space="0" w:color="auto"/>
            <w:left w:val="none" w:sz="0" w:space="0" w:color="auto"/>
            <w:bottom w:val="none" w:sz="0" w:space="0" w:color="auto"/>
            <w:right w:val="none" w:sz="0" w:space="0" w:color="auto"/>
          </w:divBdr>
        </w:div>
        <w:div w:id="720785982">
          <w:marLeft w:val="0"/>
          <w:marRight w:val="0"/>
          <w:marTop w:val="0"/>
          <w:marBottom w:val="0"/>
          <w:divBdr>
            <w:top w:val="none" w:sz="0" w:space="0" w:color="auto"/>
            <w:left w:val="none" w:sz="0" w:space="0" w:color="auto"/>
            <w:bottom w:val="none" w:sz="0" w:space="0" w:color="auto"/>
            <w:right w:val="none" w:sz="0" w:space="0" w:color="auto"/>
          </w:divBdr>
        </w:div>
        <w:div w:id="770470418">
          <w:marLeft w:val="0"/>
          <w:marRight w:val="0"/>
          <w:marTop w:val="0"/>
          <w:marBottom w:val="0"/>
          <w:divBdr>
            <w:top w:val="none" w:sz="0" w:space="0" w:color="auto"/>
            <w:left w:val="none" w:sz="0" w:space="0" w:color="auto"/>
            <w:bottom w:val="none" w:sz="0" w:space="0" w:color="auto"/>
            <w:right w:val="none" w:sz="0" w:space="0" w:color="auto"/>
          </w:divBdr>
        </w:div>
        <w:div w:id="1499735441">
          <w:marLeft w:val="0"/>
          <w:marRight w:val="0"/>
          <w:marTop w:val="0"/>
          <w:marBottom w:val="0"/>
          <w:divBdr>
            <w:top w:val="none" w:sz="0" w:space="0" w:color="auto"/>
            <w:left w:val="none" w:sz="0" w:space="0" w:color="auto"/>
            <w:bottom w:val="none" w:sz="0" w:space="0" w:color="auto"/>
            <w:right w:val="none" w:sz="0" w:space="0" w:color="auto"/>
          </w:divBdr>
        </w:div>
        <w:div w:id="786001280">
          <w:marLeft w:val="0"/>
          <w:marRight w:val="0"/>
          <w:marTop w:val="0"/>
          <w:marBottom w:val="0"/>
          <w:divBdr>
            <w:top w:val="none" w:sz="0" w:space="0" w:color="auto"/>
            <w:left w:val="none" w:sz="0" w:space="0" w:color="auto"/>
            <w:bottom w:val="none" w:sz="0" w:space="0" w:color="auto"/>
            <w:right w:val="none" w:sz="0" w:space="0" w:color="auto"/>
          </w:divBdr>
        </w:div>
        <w:div w:id="2093964965">
          <w:marLeft w:val="0"/>
          <w:marRight w:val="0"/>
          <w:marTop w:val="0"/>
          <w:marBottom w:val="0"/>
          <w:divBdr>
            <w:top w:val="none" w:sz="0" w:space="0" w:color="auto"/>
            <w:left w:val="none" w:sz="0" w:space="0" w:color="auto"/>
            <w:bottom w:val="none" w:sz="0" w:space="0" w:color="auto"/>
            <w:right w:val="none" w:sz="0" w:space="0" w:color="auto"/>
          </w:divBdr>
        </w:div>
        <w:div w:id="2114934418">
          <w:marLeft w:val="0"/>
          <w:marRight w:val="0"/>
          <w:marTop w:val="0"/>
          <w:marBottom w:val="0"/>
          <w:divBdr>
            <w:top w:val="none" w:sz="0" w:space="0" w:color="auto"/>
            <w:left w:val="none" w:sz="0" w:space="0" w:color="auto"/>
            <w:bottom w:val="none" w:sz="0" w:space="0" w:color="auto"/>
            <w:right w:val="none" w:sz="0" w:space="0" w:color="auto"/>
          </w:divBdr>
        </w:div>
        <w:div w:id="829058340">
          <w:marLeft w:val="0"/>
          <w:marRight w:val="0"/>
          <w:marTop w:val="0"/>
          <w:marBottom w:val="0"/>
          <w:divBdr>
            <w:top w:val="none" w:sz="0" w:space="0" w:color="auto"/>
            <w:left w:val="none" w:sz="0" w:space="0" w:color="auto"/>
            <w:bottom w:val="none" w:sz="0" w:space="0" w:color="auto"/>
            <w:right w:val="none" w:sz="0" w:space="0" w:color="auto"/>
          </w:divBdr>
        </w:div>
        <w:div w:id="738525961">
          <w:marLeft w:val="0"/>
          <w:marRight w:val="0"/>
          <w:marTop w:val="0"/>
          <w:marBottom w:val="0"/>
          <w:divBdr>
            <w:top w:val="none" w:sz="0" w:space="0" w:color="auto"/>
            <w:left w:val="none" w:sz="0" w:space="0" w:color="auto"/>
            <w:bottom w:val="none" w:sz="0" w:space="0" w:color="auto"/>
            <w:right w:val="none" w:sz="0" w:space="0" w:color="auto"/>
          </w:divBdr>
        </w:div>
        <w:div w:id="1991589293">
          <w:marLeft w:val="0"/>
          <w:marRight w:val="0"/>
          <w:marTop w:val="0"/>
          <w:marBottom w:val="0"/>
          <w:divBdr>
            <w:top w:val="none" w:sz="0" w:space="0" w:color="auto"/>
            <w:left w:val="none" w:sz="0" w:space="0" w:color="auto"/>
            <w:bottom w:val="none" w:sz="0" w:space="0" w:color="auto"/>
            <w:right w:val="none" w:sz="0" w:space="0" w:color="auto"/>
          </w:divBdr>
        </w:div>
        <w:div w:id="760032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84-021-09382-x" TargetMode="External"/><Relationship Id="rId13" Type="http://schemas.openxmlformats.org/officeDocument/2006/relationships/hyperlink" Target="https://kuprimo.hosted.exlibrisgroup.com/permalink/f/1ik10ij/TN_cdi_elsevier_sciencedirect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pcl.2024.01.0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primo.hosted.exlibrisgroup.com/permalink/f/1ik10ij/TN_cdi_crossref_primary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uprimo.hosted.exlibrisgroup.com/permalink/f/1ik10ij/TN_cdi_elsevier_sciencedirect_doi_10_1016_j_paed_" TargetMode="External"/><Relationship Id="rId4" Type="http://schemas.openxmlformats.org/officeDocument/2006/relationships/settings" Target="settings.xml"/><Relationship Id="rId9" Type="http://schemas.openxmlformats.org/officeDocument/2006/relationships/hyperlink" Target="https://doi.org/10.1007/s10984-022-09410-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UTheme">
  <a:themeElements>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UTheme" id="{ECE54246-F373-48D2-8183-5FA82A779986}" vid="{5BF0712C-D547-4FCB-9183-A39B7626127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B68AA-3A04-4819-A8CD-B5020552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Erica Grindinger</cp:lastModifiedBy>
  <cp:revision>7</cp:revision>
  <cp:lastPrinted>2015-04-14T23:03:00Z</cp:lastPrinted>
  <dcterms:created xsi:type="dcterms:W3CDTF">2026-04-01T02:02:00Z</dcterms:created>
  <dcterms:modified xsi:type="dcterms:W3CDTF">2026-04-04T17:57:00Z</dcterms:modified>
</cp:coreProperties>
</file>